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C3A8" w14:textId="04A3DF52" w:rsidR="00F34981" w:rsidRDefault="00D3362A">
      <w:pPr>
        <w:suppressAutoHyphens w:val="0"/>
        <w:spacing w:before="0" w:line="240" w:lineRule="auto"/>
        <w:jc w:val="left"/>
        <w:rPr>
          <w:b/>
          <w:bCs/>
          <w:sz w:val="52"/>
          <w:szCs w:val="44"/>
          <w:lang w:val="en-GB"/>
        </w:rPr>
      </w:pPr>
      <w:r w:rsidRPr="00F34981">
        <w:rPr>
          <w:b/>
          <w:bCs/>
          <w:noProof/>
          <w:sz w:val="52"/>
          <w:szCs w:val="44"/>
          <w:lang w:val="en-GB"/>
        </w:rPr>
        <mc:AlternateContent>
          <mc:Choice Requires="wps">
            <w:drawing>
              <wp:anchor distT="0" distB="0" distL="114300" distR="114300" simplePos="0" relativeHeight="251660288" behindDoc="0" locked="0" layoutInCell="1" allowOverlap="1" wp14:anchorId="65DF8AB9" wp14:editId="1E1FC3C8">
                <wp:simplePos x="0" y="0"/>
                <wp:positionH relativeFrom="column">
                  <wp:posOffset>2409940</wp:posOffset>
                </wp:positionH>
                <wp:positionV relativeFrom="paragraph">
                  <wp:posOffset>5814060</wp:posOffset>
                </wp:positionV>
                <wp:extent cx="3434195" cy="158940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195"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DE61" w14:textId="77777777" w:rsidR="00F34981" w:rsidRDefault="00F34981" w:rsidP="00F34981">
                            <w:pPr>
                              <w:spacing w:before="0"/>
                              <w:jc w:val="left"/>
                              <w:rPr>
                                <w:rFonts w:asciiTheme="minorHAnsi" w:hAnsiTheme="minorHAnsi"/>
                                <w:b/>
                                <w:color w:val="FFFFFF"/>
                                <w:sz w:val="32"/>
                                <w:szCs w:val="32"/>
                                <w:lang w:val="en-GB"/>
                              </w:rPr>
                            </w:pPr>
                            <w:r w:rsidRPr="00F34981">
                              <w:rPr>
                                <w:rFonts w:asciiTheme="minorHAnsi" w:hAnsiTheme="minorHAnsi"/>
                                <w:b/>
                                <w:color w:val="FFFFFF"/>
                                <w:sz w:val="32"/>
                                <w:szCs w:val="32"/>
                                <w:lang w:val="en-GB"/>
                              </w:rPr>
                              <w:t>Isam Almadani (ed.)</w:t>
                            </w:r>
                            <w:r w:rsidRPr="00F34981">
                              <w:rPr>
                                <w:rFonts w:asciiTheme="minorHAnsi" w:hAnsiTheme="minorHAnsi"/>
                                <w:b/>
                                <w:color w:val="FFFFFF"/>
                                <w:sz w:val="32"/>
                                <w:szCs w:val="32"/>
                                <w:lang w:val="en-GB"/>
                              </w:rPr>
                              <w:br/>
                            </w:r>
                          </w:p>
                          <w:p w14:paraId="0A266D81" w14:textId="77777777" w:rsidR="00F34981" w:rsidRDefault="00F34981" w:rsidP="00F34981">
                            <w:pPr>
                              <w:spacing w:before="0"/>
                              <w:jc w:val="left"/>
                              <w:rPr>
                                <w:rFonts w:asciiTheme="minorHAnsi" w:hAnsiTheme="minorHAnsi"/>
                                <w:b/>
                                <w:color w:val="FFFFFF"/>
                                <w:sz w:val="40"/>
                                <w:szCs w:val="40"/>
                                <w:lang w:val="en-GB"/>
                              </w:rPr>
                            </w:pPr>
                            <w:r w:rsidRPr="00F34981">
                              <w:rPr>
                                <w:rFonts w:asciiTheme="minorHAnsi" w:hAnsiTheme="minorHAnsi"/>
                                <w:b/>
                                <w:color w:val="FFFFFF"/>
                                <w:sz w:val="40"/>
                                <w:szCs w:val="40"/>
                                <w:lang w:val="en-GB"/>
                              </w:rPr>
                              <w:t xml:space="preserve">The </w:t>
                            </w:r>
                            <w:proofErr w:type="spellStart"/>
                            <w:r w:rsidRPr="00F23AEE">
                              <w:rPr>
                                <w:rFonts w:asciiTheme="minorHAnsi" w:hAnsiTheme="minorHAnsi"/>
                                <w:b/>
                                <w:i/>
                                <w:color w:val="FFFFFF"/>
                                <w:sz w:val="40"/>
                                <w:szCs w:val="40"/>
                                <w:lang w:val="en-GB"/>
                              </w:rPr>
                              <w:t>agri</w:t>
                            </w:r>
                            <w:proofErr w:type="spellEnd"/>
                            <w:r w:rsidRPr="00F23AEE">
                              <w:rPr>
                                <w:rFonts w:asciiTheme="minorHAnsi" w:hAnsiTheme="minorHAnsi"/>
                                <w:b/>
                                <w:i/>
                                <w:color w:val="FFFFFF"/>
                                <w:sz w:val="40"/>
                                <w:szCs w:val="40"/>
                                <w:lang w:val="en-GB"/>
                              </w:rPr>
                              <w:t xml:space="preserve"> benchmark</w:t>
                            </w:r>
                            <w:r w:rsidRPr="00F34981">
                              <w:rPr>
                                <w:rFonts w:asciiTheme="minorHAnsi" w:hAnsiTheme="minorHAnsi"/>
                                <w:b/>
                                <w:color w:val="FFFFFF"/>
                                <w:sz w:val="40"/>
                                <w:szCs w:val="40"/>
                                <w:lang w:val="en-GB"/>
                              </w:rPr>
                              <w:t xml:space="preserve"> </w:t>
                            </w:r>
                          </w:p>
                          <w:p w14:paraId="6168EE93" w14:textId="77777777" w:rsidR="00F34981" w:rsidRDefault="00F34981" w:rsidP="00F34981">
                            <w:pPr>
                              <w:spacing w:before="0"/>
                              <w:jc w:val="left"/>
                              <w:rPr>
                                <w:rFonts w:asciiTheme="minorHAnsi" w:hAnsiTheme="minorHAnsi"/>
                                <w:b/>
                                <w:color w:val="FFFFFF"/>
                                <w:sz w:val="40"/>
                                <w:szCs w:val="40"/>
                                <w:lang w:val="en-GB"/>
                              </w:rPr>
                            </w:pPr>
                            <w:r w:rsidRPr="00F34981">
                              <w:rPr>
                                <w:rFonts w:asciiTheme="minorHAnsi" w:hAnsiTheme="minorHAnsi"/>
                                <w:b/>
                                <w:color w:val="FFFFFF"/>
                                <w:sz w:val="40"/>
                                <w:szCs w:val="40"/>
                                <w:lang w:val="en-GB"/>
                              </w:rPr>
                              <w:t xml:space="preserve">Global Producer Price Indices </w:t>
                            </w:r>
                          </w:p>
                          <w:p w14:paraId="7B39D5E8" w14:textId="7F43A6F5" w:rsidR="00F34981" w:rsidRPr="00F34981" w:rsidRDefault="00F34981" w:rsidP="00F34981">
                            <w:pPr>
                              <w:spacing w:before="0"/>
                              <w:jc w:val="left"/>
                              <w:rPr>
                                <w:rFonts w:asciiTheme="minorHAnsi" w:hAnsiTheme="minorHAnsi"/>
                                <w:b/>
                                <w:color w:val="FFFFFF"/>
                                <w:sz w:val="40"/>
                                <w:szCs w:val="40"/>
                                <w:lang w:val="en-GB"/>
                              </w:rPr>
                            </w:pPr>
                            <w:r w:rsidRPr="00F34981">
                              <w:rPr>
                                <w:rFonts w:asciiTheme="minorHAnsi" w:hAnsiTheme="minorHAnsi"/>
                                <w:b/>
                                <w:color w:val="FFFFFF"/>
                                <w:sz w:val="40"/>
                                <w:szCs w:val="40"/>
                                <w:lang w:val="en-GB"/>
                              </w:rPr>
                              <w:t>for Beef Cattle and Sheep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F8AB9" id="_x0000_t202" coordsize="21600,21600" o:spt="202" path="m,l,21600r21600,l21600,xe">
                <v:stroke joinstyle="miter"/>
                <v:path gradientshapeok="t" o:connecttype="rect"/>
              </v:shapetype>
              <v:shape id="Text Box 8" o:spid="_x0000_s1026" type="#_x0000_t202" style="position:absolute;margin-left:189.75pt;margin-top:457.8pt;width:270.4pt;height:1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" filled="f" stroked="f">
                <v:textbox>
                  <w:txbxContent>
                    <w:p w14:paraId="3E2DDE61" w14:textId="77777777" w:rsidR="00F34981" w:rsidRDefault="00F34981" w:rsidP="00F34981">
                      <w:pPr>
                        <w:spacing w:before="0"/>
                        <w:jc w:val="left"/>
                        <w:rPr>
                          <w:rFonts w:asciiTheme="minorHAnsi" w:hAnsiTheme="minorHAnsi"/>
                          <w:b/>
                          <w:color w:val="FFFFFF"/>
                          <w:sz w:val="32"/>
                          <w:szCs w:val="32"/>
                          <w:lang w:val="en-GB"/>
                        </w:rPr>
                      </w:pPr>
                      <w:r w:rsidRPr="00F34981">
                        <w:rPr>
                          <w:rFonts w:asciiTheme="minorHAnsi" w:hAnsiTheme="minorHAnsi"/>
                          <w:b/>
                          <w:color w:val="FFFFFF"/>
                          <w:sz w:val="32"/>
                          <w:szCs w:val="32"/>
                          <w:lang w:val="en-GB"/>
                        </w:rPr>
                        <w:t>Isam Almadani (ed.)</w:t>
                      </w:r>
                      <w:r w:rsidRPr="00F34981">
                        <w:rPr>
                          <w:rFonts w:asciiTheme="minorHAnsi" w:hAnsiTheme="minorHAnsi"/>
                          <w:b/>
                          <w:color w:val="FFFFFF"/>
                          <w:sz w:val="32"/>
                          <w:szCs w:val="32"/>
                          <w:lang w:val="en-GB"/>
                        </w:rPr>
                        <w:br/>
                      </w:r>
                    </w:p>
                    <w:p w14:paraId="0A266D81" w14:textId="77777777" w:rsidR="00F34981" w:rsidRDefault="00F34981" w:rsidP="00F34981">
                      <w:pPr>
                        <w:spacing w:before="0"/>
                        <w:jc w:val="left"/>
                        <w:rPr>
                          <w:rFonts w:asciiTheme="minorHAnsi" w:hAnsiTheme="minorHAnsi"/>
                          <w:b/>
                          <w:color w:val="FFFFFF"/>
                          <w:sz w:val="40"/>
                          <w:szCs w:val="40"/>
                          <w:lang w:val="en-GB"/>
                        </w:rPr>
                      </w:pPr>
                      <w:r w:rsidRPr="00F34981">
                        <w:rPr>
                          <w:rFonts w:asciiTheme="minorHAnsi" w:hAnsiTheme="minorHAnsi"/>
                          <w:b/>
                          <w:color w:val="FFFFFF"/>
                          <w:sz w:val="40"/>
                          <w:szCs w:val="40"/>
                          <w:lang w:val="en-GB"/>
                        </w:rPr>
                        <w:t xml:space="preserve">The </w:t>
                      </w:r>
                      <w:proofErr w:type="spellStart"/>
                      <w:r w:rsidRPr="00F23AEE">
                        <w:rPr>
                          <w:rFonts w:asciiTheme="minorHAnsi" w:hAnsiTheme="minorHAnsi"/>
                          <w:b/>
                          <w:i/>
                          <w:color w:val="FFFFFF"/>
                          <w:sz w:val="40"/>
                          <w:szCs w:val="40"/>
                          <w:lang w:val="en-GB"/>
                        </w:rPr>
                        <w:t>agri</w:t>
                      </w:r>
                      <w:proofErr w:type="spellEnd"/>
                      <w:r w:rsidRPr="00F23AEE">
                        <w:rPr>
                          <w:rFonts w:asciiTheme="minorHAnsi" w:hAnsiTheme="minorHAnsi"/>
                          <w:b/>
                          <w:i/>
                          <w:color w:val="FFFFFF"/>
                          <w:sz w:val="40"/>
                          <w:szCs w:val="40"/>
                          <w:lang w:val="en-GB"/>
                        </w:rPr>
                        <w:t xml:space="preserve"> benchmark</w:t>
                      </w:r>
                      <w:r w:rsidRPr="00F34981">
                        <w:rPr>
                          <w:rFonts w:asciiTheme="minorHAnsi" w:hAnsiTheme="minorHAnsi"/>
                          <w:b/>
                          <w:color w:val="FFFFFF"/>
                          <w:sz w:val="40"/>
                          <w:szCs w:val="40"/>
                          <w:lang w:val="en-GB"/>
                        </w:rPr>
                        <w:t xml:space="preserve"> </w:t>
                      </w:r>
                    </w:p>
                    <w:p w14:paraId="6168EE93" w14:textId="77777777" w:rsidR="00F34981" w:rsidRDefault="00F34981" w:rsidP="00F34981">
                      <w:pPr>
                        <w:spacing w:before="0"/>
                        <w:jc w:val="left"/>
                        <w:rPr>
                          <w:rFonts w:asciiTheme="minorHAnsi" w:hAnsiTheme="minorHAnsi"/>
                          <w:b/>
                          <w:color w:val="FFFFFF"/>
                          <w:sz w:val="40"/>
                          <w:szCs w:val="40"/>
                          <w:lang w:val="en-GB"/>
                        </w:rPr>
                      </w:pPr>
                      <w:r w:rsidRPr="00F34981">
                        <w:rPr>
                          <w:rFonts w:asciiTheme="minorHAnsi" w:hAnsiTheme="minorHAnsi"/>
                          <w:b/>
                          <w:color w:val="FFFFFF"/>
                          <w:sz w:val="40"/>
                          <w:szCs w:val="40"/>
                          <w:lang w:val="en-GB"/>
                        </w:rPr>
                        <w:t xml:space="preserve">Global Producer Price Indices </w:t>
                      </w:r>
                    </w:p>
                    <w:p w14:paraId="7B39D5E8" w14:textId="7F43A6F5" w:rsidR="00F34981" w:rsidRPr="00F34981" w:rsidRDefault="00F34981" w:rsidP="00F34981">
                      <w:pPr>
                        <w:spacing w:before="0"/>
                        <w:jc w:val="left"/>
                        <w:rPr>
                          <w:rFonts w:asciiTheme="minorHAnsi" w:hAnsiTheme="minorHAnsi"/>
                          <w:b/>
                          <w:color w:val="FFFFFF"/>
                          <w:sz w:val="40"/>
                          <w:szCs w:val="40"/>
                          <w:lang w:val="en-GB"/>
                        </w:rPr>
                      </w:pPr>
                      <w:r w:rsidRPr="00F34981">
                        <w:rPr>
                          <w:rFonts w:asciiTheme="minorHAnsi" w:hAnsiTheme="minorHAnsi"/>
                          <w:b/>
                          <w:color w:val="FFFFFF"/>
                          <w:sz w:val="40"/>
                          <w:szCs w:val="40"/>
                          <w:lang w:val="en-GB"/>
                        </w:rPr>
                        <w:t>for Beef Cattle and Sheep</w:t>
                      </w:r>
                    </w:p>
                  </w:txbxContent>
                </v:textbox>
              </v:shape>
            </w:pict>
          </mc:Fallback>
        </mc:AlternateContent>
      </w:r>
      <w:r w:rsidR="00F34981" w:rsidRPr="0034416F">
        <w:rPr>
          <w:noProof/>
        </w:rPr>
        <w:drawing>
          <wp:anchor distT="0" distB="0" distL="114300" distR="114300" simplePos="0" relativeHeight="251662336" behindDoc="0" locked="0" layoutInCell="1" allowOverlap="1" wp14:anchorId="378E31AF" wp14:editId="52B22C4E">
            <wp:simplePos x="0" y="0"/>
            <wp:positionH relativeFrom="column">
              <wp:posOffset>4682779</wp:posOffset>
            </wp:positionH>
            <wp:positionV relativeFrom="paragraph">
              <wp:posOffset>-124922</wp:posOffset>
            </wp:positionV>
            <wp:extent cx="1619885" cy="65151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19885" cy="651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34981" w:rsidRPr="00A267E8">
        <w:rPr>
          <w:noProof/>
          <w:lang w:val="en-US" w:eastAsia="en-US"/>
        </w:rPr>
        <w:drawing>
          <wp:anchor distT="0" distB="0" distL="114300" distR="114300" simplePos="0" relativeHeight="251658239" behindDoc="0" locked="0" layoutInCell="1" allowOverlap="1" wp14:anchorId="1655E308" wp14:editId="255BA360">
            <wp:simplePos x="0" y="0"/>
            <wp:positionH relativeFrom="page">
              <wp:posOffset>-229177</wp:posOffset>
            </wp:positionH>
            <wp:positionV relativeFrom="paragraph">
              <wp:posOffset>-1313989</wp:posOffset>
            </wp:positionV>
            <wp:extent cx="7709535" cy="10908030"/>
            <wp:effectExtent l="0" t="0" r="5715" b="7620"/>
            <wp:wrapNone/>
            <wp:docPr id="35" name="Bild 12" descr="cover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 Kopi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709535" cy="1090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981">
        <w:rPr>
          <w:b/>
          <w:bCs/>
          <w:sz w:val="52"/>
          <w:szCs w:val="44"/>
          <w:lang w:val="en-GB"/>
        </w:rPr>
        <w:br/>
      </w:r>
      <w:r w:rsidR="00F34981" w:rsidRPr="0034416F">
        <w:rPr>
          <w:noProof/>
        </w:rPr>
        <mc:AlternateContent>
          <mc:Choice Requires="wps">
            <w:drawing>
              <wp:anchor distT="0" distB="0" distL="114300" distR="114300" simplePos="0" relativeHeight="251664384" behindDoc="0" locked="0" layoutInCell="1" allowOverlap="1" wp14:anchorId="39651C00" wp14:editId="4A5150CF">
                <wp:simplePos x="0" y="0"/>
                <wp:positionH relativeFrom="margin">
                  <wp:posOffset>3344949</wp:posOffset>
                </wp:positionH>
                <wp:positionV relativeFrom="paragraph">
                  <wp:posOffset>8767156</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88522C4" w14:textId="77777777" w:rsidR="00F34981" w:rsidRPr="007A1AFC" w:rsidRDefault="00F34981" w:rsidP="00F34981">
                            <w:pPr>
                              <w:spacing w:before="0" w:line="240" w:lineRule="auto"/>
                              <w:jc w:val="right"/>
                              <w:rPr>
                                <w:b/>
                                <w:color w:val="FFFFFF" w:themeColor="background1"/>
                                <w:sz w:val="32"/>
                                <w:szCs w:val="32"/>
                              </w:rPr>
                            </w:pPr>
                            <w:proofErr w:type="spellStart"/>
                            <w:r>
                              <w:rPr>
                                <w:b/>
                                <w:color w:val="FFFFFF" w:themeColor="background1"/>
                                <w:sz w:val="32"/>
                                <w:szCs w:val="32"/>
                              </w:rPr>
                              <w:t>October</w:t>
                            </w:r>
                            <w:proofErr w:type="spellEnd"/>
                            <w:r>
                              <w:rPr>
                                <w:b/>
                                <w:color w:val="FFFFFF" w:themeColor="background1"/>
                                <w:sz w:val="32"/>
                                <w:szCs w:val="32"/>
                              </w:rPr>
                              <w:t xml:space="preserve">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651C00" id="Textfeld 2" o:spid="_x0000_s1027" type="#_x0000_t202" style="position:absolute;margin-left:263.4pt;margin-top:690.35pt;width:186.95pt;height:110.55pt;z-index:251664384;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" filled="f" stroked="f">
                <v:textbox style="mso-fit-shape-to-text:t">
                  <w:txbxContent>
                    <w:p w14:paraId="388522C4" w14:textId="77777777" w:rsidR="00F34981" w:rsidRPr="007A1AFC" w:rsidRDefault="00F34981" w:rsidP="00F34981">
                      <w:pPr>
                        <w:spacing w:before="0" w:line="240" w:lineRule="auto"/>
                        <w:jc w:val="right"/>
                        <w:rPr>
                          <w:b/>
                          <w:color w:val="FFFFFF" w:themeColor="background1"/>
                          <w:sz w:val="32"/>
                          <w:szCs w:val="32"/>
                        </w:rPr>
                      </w:pPr>
                      <w:proofErr w:type="spellStart"/>
                      <w:r>
                        <w:rPr>
                          <w:b/>
                          <w:color w:val="FFFFFF" w:themeColor="background1"/>
                          <w:sz w:val="32"/>
                          <w:szCs w:val="32"/>
                        </w:rPr>
                        <w:t>October</w:t>
                      </w:r>
                      <w:proofErr w:type="spellEnd"/>
                      <w:r>
                        <w:rPr>
                          <w:b/>
                          <w:color w:val="FFFFFF" w:themeColor="background1"/>
                          <w:sz w:val="32"/>
                          <w:szCs w:val="32"/>
                        </w:rPr>
                        <w:t xml:space="preserve"> 2026</w:t>
                      </w:r>
                    </w:p>
                  </w:txbxContent>
                </v:textbox>
                <w10:wrap anchorx="margin"/>
              </v:shape>
            </w:pict>
          </mc:Fallback>
        </mc:AlternateContent>
      </w:r>
      <w:r w:rsidR="00F34981" w:rsidRPr="00F34981">
        <w:rPr>
          <w:b/>
          <w:bCs/>
          <w:noProof/>
          <w:sz w:val="52"/>
          <w:szCs w:val="44"/>
          <w:lang w:val="en-GB"/>
        </w:rPr>
        <mc:AlternateContent>
          <mc:Choice Requires="wps">
            <w:drawing>
              <wp:anchor distT="0" distB="0" distL="114300" distR="114300" simplePos="0" relativeHeight="251659264" behindDoc="0" locked="0" layoutInCell="1" allowOverlap="1" wp14:anchorId="5D4C9BF9" wp14:editId="384B35C1">
                <wp:simplePos x="0" y="0"/>
                <wp:positionH relativeFrom="margin">
                  <wp:posOffset>0</wp:posOffset>
                </wp:positionH>
                <wp:positionV relativeFrom="paragraph">
                  <wp:posOffset>605270</wp:posOffset>
                </wp:positionV>
                <wp:extent cx="6286500" cy="10287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643D" w14:textId="77777777" w:rsidR="00F34981" w:rsidRPr="00321353" w:rsidRDefault="00F34981" w:rsidP="00F34981">
                            <w:pPr>
                              <w:jc w:val="right"/>
                              <w:rPr>
                                <w:rFonts w:asciiTheme="minorHAnsi" w:hAnsiTheme="minorHAnsi"/>
                                <w:b/>
                                <w:color w:val="BF0000"/>
                                <w:sz w:val="56"/>
                                <w:szCs w:val="56"/>
                                <w:lang w:val="en-GB"/>
                              </w:rPr>
                            </w:pPr>
                            <w:r w:rsidRPr="00321353">
                              <w:rPr>
                                <w:rFonts w:asciiTheme="minorHAnsi" w:hAnsiTheme="minorHAnsi"/>
                                <w:b/>
                                <w:color w:val="BF0000"/>
                                <w:sz w:val="56"/>
                                <w:szCs w:val="56"/>
                                <w:lang w:val="en-GB"/>
                              </w:rPr>
                              <w:t>Beef and Sheep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C9BF9" id="Text Box 10" o:spid="_x0000_s1028" type="#_x0000_t202" style="position:absolute;margin-left:0;margin-top:47.65pt;width:495pt;height: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" filled="f" stroked="f">
                <v:textbox>
                  <w:txbxContent>
                    <w:p w14:paraId="7F81643D" w14:textId="77777777" w:rsidR="00F34981" w:rsidRPr="00321353" w:rsidRDefault="00F34981" w:rsidP="00F34981">
                      <w:pPr>
                        <w:jc w:val="right"/>
                        <w:rPr>
                          <w:rFonts w:asciiTheme="minorHAnsi" w:hAnsiTheme="minorHAnsi"/>
                          <w:b/>
                          <w:color w:val="BF0000"/>
                          <w:sz w:val="56"/>
                          <w:szCs w:val="56"/>
                          <w:lang w:val="en-GB"/>
                        </w:rPr>
                      </w:pPr>
                      <w:r w:rsidRPr="00321353">
                        <w:rPr>
                          <w:rFonts w:asciiTheme="minorHAnsi" w:hAnsiTheme="minorHAnsi"/>
                          <w:b/>
                          <w:color w:val="BF0000"/>
                          <w:sz w:val="56"/>
                          <w:szCs w:val="56"/>
                          <w:lang w:val="en-GB"/>
                        </w:rPr>
                        <w:t>Beef and Sheep Network</w:t>
                      </w:r>
                    </w:p>
                  </w:txbxContent>
                </v:textbox>
                <w10:wrap anchorx="margin"/>
              </v:shape>
            </w:pict>
          </mc:Fallback>
        </mc:AlternateContent>
      </w:r>
    </w:p>
    <w:p w14:paraId="37DC806D" w14:textId="2AA203C9" w:rsidR="009A3662" w:rsidRPr="00F34981" w:rsidRDefault="009A3662" w:rsidP="0022049C">
      <w:pPr>
        <w:tabs>
          <w:tab w:val="left" w:pos="4143"/>
        </w:tabs>
        <w:jc w:val="center"/>
        <w:rPr>
          <w:b/>
          <w:bCs/>
          <w:sz w:val="52"/>
          <w:szCs w:val="44"/>
          <w:lang w:val="en-GB"/>
        </w:rPr>
        <w:sectPr w:rsidR="009A3662" w:rsidRPr="00F34981" w:rsidSect="00E21E88">
          <w:pgSz w:w="11913" w:h="16834" w:code="9"/>
          <w:pgMar w:top="1701" w:right="1191" w:bottom="1418" w:left="1191" w:header="567" w:footer="720" w:gutter="0"/>
          <w:paperSrc w:first="7" w:other="7"/>
          <w:pgNumType w:fmt="lowerRoman" w:start="1"/>
          <w:cols w:space="720"/>
          <w:docGrid w:linePitch="326"/>
        </w:sectPr>
      </w:pPr>
    </w:p>
    <w:p w14:paraId="7D6B9663" w14:textId="584F0E9B" w:rsidR="005A5510" w:rsidRPr="00E51ECB" w:rsidRDefault="00E21E88" w:rsidP="00657B6C">
      <w:pPr>
        <w:pStyle w:val="berschrift1"/>
        <w:rPr>
          <w:lang w:val="en-GB"/>
        </w:rPr>
      </w:pPr>
      <w:r w:rsidRPr="00BC2F50">
        <w:rPr>
          <w:lang w:val="en-GB"/>
        </w:rPr>
        <w:lastRenderedPageBreak/>
        <w:tab/>
        <w:t>Introduction</w:t>
      </w:r>
      <w:r w:rsidR="00292B48" w:rsidRPr="008C69F3">
        <w:rPr>
          <w:lang w:val="en-GB"/>
        </w:rPr>
        <w:t xml:space="preserve"> </w:t>
      </w:r>
    </w:p>
    <w:p w14:paraId="10028431" w14:textId="77777777" w:rsidR="00826BC8" w:rsidRPr="000D25B2" w:rsidRDefault="00826BC8" w:rsidP="008C69F3">
      <w:pPr>
        <w:spacing w:before="120" w:after="120" w:line="276" w:lineRule="auto"/>
        <w:rPr>
          <w:spacing w:val="-2"/>
          <w:lang w:val="en-US"/>
        </w:rPr>
      </w:pPr>
      <w:r w:rsidRPr="000D25B2">
        <w:rPr>
          <w:spacing w:val="-2"/>
          <w:lang w:val="en-US"/>
        </w:rPr>
        <w:t xml:space="preserve">The </w:t>
      </w:r>
      <w:proofErr w:type="spellStart"/>
      <w:r w:rsidRPr="000D25B2">
        <w:rPr>
          <w:i/>
          <w:iCs/>
          <w:spacing w:val="-2"/>
          <w:lang w:val="en-US"/>
        </w:rPr>
        <w:t>agri</w:t>
      </w:r>
      <w:proofErr w:type="spellEnd"/>
      <w:r w:rsidRPr="000D25B2">
        <w:rPr>
          <w:i/>
          <w:iCs/>
          <w:spacing w:val="-2"/>
          <w:lang w:val="en-US"/>
        </w:rPr>
        <w:t xml:space="preserve"> benchmark</w:t>
      </w:r>
      <w:r w:rsidRPr="000D25B2">
        <w:rPr>
          <w:spacing w:val="-2"/>
          <w:lang w:val="en-US"/>
        </w:rPr>
        <w:t xml:space="preserve"> Beef and Sheep Network compiles a set of annual (calendar year) Global Producer Price Indices for finished cattle, weaner cattle, lambs, and sheep meat. These indices are </w:t>
      </w:r>
      <w:proofErr w:type="spellStart"/>
      <w:r w:rsidRPr="000D25B2">
        <w:rPr>
          <w:spacing w:val="-2"/>
          <w:lang w:val="en-US"/>
        </w:rPr>
        <w:t>Laspeyres</w:t>
      </w:r>
      <w:proofErr w:type="spellEnd"/>
      <w:r w:rsidRPr="000D25B2">
        <w:rPr>
          <w:spacing w:val="-2"/>
          <w:lang w:val="en-US"/>
        </w:rPr>
        <w:t>, production-weighted</w:t>
      </w:r>
      <w:r w:rsidR="00373BFD" w:rsidRPr="000D25B2">
        <w:rPr>
          <w:spacing w:val="-2"/>
          <w:lang w:val="en-US"/>
        </w:rPr>
        <w:t xml:space="preserve"> indices</w:t>
      </w:r>
      <w:r w:rsidR="00D912A3">
        <w:rPr>
          <w:rStyle w:val="Funotenzeichen"/>
          <w:rFonts w:eastAsia="Calibri" w:cs="Arial"/>
        </w:rPr>
        <w:footnoteReference w:id="1"/>
      </w:r>
      <w:r w:rsidRPr="000D25B2">
        <w:rPr>
          <w:rFonts w:eastAsia="Calibri" w:cs="Arial"/>
          <w:lang w:val="en-US"/>
        </w:rPr>
        <w:t xml:space="preserve"> </w:t>
      </w:r>
      <w:r w:rsidRPr="000D25B2">
        <w:rPr>
          <w:spacing w:val="-2"/>
          <w:lang w:val="en-US"/>
        </w:rPr>
        <w:t xml:space="preserve">that measure changes in global farm-gate prices as reported annually by the </w:t>
      </w:r>
      <w:proofErr w:type="spellStart"/>
      <w:r w:rsidRPr="000D25B2">
        <w:rPr>
          <w:i/>
          <w:iCs/>
          <w:spacing w:val="-2"/>
          <w:lang w:val="en-US"/>
        </w:rPr>
        <w:t>agri</w:t>
      </w:r>
      <w:proofErr w:type="spellEnd"/>
      <w:r w:rsidRPr="000D25B2">
        <w:rPr>
          <w:i/>
          <w:iCs/>
          <w:spacing w:val="-2"/>
          <w:lang w:val="en-US"/>
        </w:rPr>
        <w:t xml:space="preserve"> benchmark</w:t>
      </w:r>
      <w:r w:rsidRPr="000D25B2">
        <w:rPr>
          <w:spacing w:val="-2"/>
          <w:lang w:val="en-US"/>
        </w:rPr>
        <w:t xml:space="preserve"> Beef and Sheep Network. The dataset currently includes 34 countries for cattle and 16 countries for sheep.</w:t>
      </w:r>
      <w:r w:rsidR="008B5D60" w:rsidRPr="000D25B2">
        <w:rPr>
          <w:spacing w:val="-2"/>
          <w:lang w:val="en-US"/>
        </w:rPr>
        <w:t xml:space="preserve"> </w:t>
      </w:r>
      <w:r w:rsidRPr="000D25B2">
        <w:rPr>
          <w:spacing w:val="-2"/>
          <w:lang w:val="en-US"/>
        </w:rPr>
        <w:t xml:space="preserve">The indices are based on nominal prices </w:t>
      </w:r>
      <w:r w:rsidR="00041B76" w:rsidRPr="000D25B2">
        <w:rPr>
          <w:spacing w:val="-2"/>
          <w:lang w:val="en-US"/>
        </w:rPr>
        <w:t>(not inflation-adjusted)</w:t>
      </w:r>
      <w:r w:rsidR="00350B6F" w:rsidRPr="000D25B2">
        <w:rPr>
          <w:spacing w:val="-2"/>
          <w:lang w:val="en-US"/>
        </w:rPr>
        <w:t xml:space="preserve"> </w:t>
      </w:r>
      <w:r w:rsidRPr="000D25B2">
        <w:rPr>
          <w:spacing w:val="-2"/>
          <w:lang w:val="en-US"/>
        </w:rPr>
        <w:t>and use average prices from the 2014–2016 period as the base.</w:t>
      </w:r>
    </w:p>
    <w:p w14:paraId="56D07D0C" w14:textId="7EA9EF52" w:rsidR="00826BC8" w:rsidRPr="00826BC8" w:rsidRDefault="00826BC8" w:rsidP="008C69F3">
      <w:pPr>
        <w:spacing w:before="120" w:after="120" w:line="276" w:lineRule="auto"/>
        <w:rPr>
          <w:lang w:val="en-GB"/>
        </w:rPr>
      </w:pPr>
      <w:r w:rsidRPr="000D25B2">
        <w:rPr>
          <w:lang w:val="en-US"/>
        </w:rPr>
        <w:t xml:space="preserve">The global, regional, and country-specific indices serve as analytical tools to monitor and interpret developments in beef cattle, lamb, and sheep prices over time. </w:t>
      </w:r>
      <w:r w:rsidRPr="00657B6C">
        <w:rPr>
          <w:lang w:val="en-GB"/>
        </w:rPr>
        <w:t>They capture</w:t>
      </w:r>
      <w:r w:rsidR="00657B6C" w:rsidRPr="00657B6C">
        <w:rPr>
          <w:lang w:val="en-GB"/>
        </w:rPr>
        <w:t xml:space="preserve"> </w:t>
      </w:r>
      <w:r w:rsidRPr="00657B6C">
        <w:rPr>
          <w:lang w:val="en-GB"/>
        </w:rPr>
        <w:t>a) the structure of beef and sheep prices in producing countries that are not among the major exporters, and b) country-specific factors influencing prices, such as policy interventions and changes in supply and demand in major producing and consuming nations.</w:t>
      </w:r>
    </w:p>
    <w:p w14:paraId="7109260A" w14:textId="7DBFE8EA" w:rsidR="00826BC8" w:rsidRPr="000D25B2" w:rsidRDefault="00826BC8" w:rsidP="008C69F3">
      <w:pPr>
        <w:spacing w:before="120" w:after="120" w:line="276" w:lineRule="auto"/>
        <w:rPr>
          <w:rFonts w:eastAsia="Calibri" w:cs="Arial"/>
          <w:lang w:val="en-US"/>
        </w:rPr>
      </w:pPr>
      <w:r w:rsidRPr="000D25B2">
        <w:rPr>
          <w:rFonts w:eastAsia="Calibri" w:cs="Arial"/>
          <w:lang w:val="en-US"/>
        </w:rPr>
        <w:t>To provide a more nuanced understanding of global producer price dynamics during the observed period, regional and country sub-indices were also calculated for regions contributing significantly to the average global production over 2014–2016. Four sub-indices were developed for finished cattle (North America, South America, the E</w:t>
      </w:r>
      <w:r w:rsidR="00BE72ED" w:rsidRPr="000D25B2">
        <w:rPr>
          <w:rFonts w:eastAsia="Calibri" w:cs="Arial"/>
          <w:lang w:val="en-US"/>
        </w:rPr>
        <w:t>U</w:t>
      </w:r>
      <w:r w:rsidRPr="000D25B2">
        <w:rPr>
          <w:rFonts w:eastAsia="Calibri" w:cs="Arial"/>
          <w:lang w:val="en-US"/>
        </w:rPr>
        <w:t>, and China); three for weaner cattle (North America, South America, and the E</w:t>
      </w:r>
      <w:r w:rsidR="00BE72ED" w:rsidRPr="000D25B2">
        <w:rPr>
          <w:rFonts w:eastAsia="Calibri" w:cs="Arial"/>
          <w:lang w:val="en-US"/>
        </w:rPr>
        <w:t>U</w:t>
      </w:r>
      <w:r w:rsidRPr="000D25B2">
        <w:rPr>
          <w:rFonts w:eastAsia="Calibri" w:cs="Arial"/>
          <w:lang w:val="en-US"/>
        </w:rPr>
        <w:t>); three for lambs (Oceania, the E</w:t>
      </w:r>
      <w:r w:rsidR="00BE72ED" w:rsidRPr="000D25B2">
        <w:rPr>
          <w:rFonts w:eastAsia="Calibri" w:cs="Arial"/>
          <w:lang w:val="en-US"/>
        </w:rPr>
        <w:t>U</w:t>
      </w:r>
      <w:r w:rsidRPr="000D25B2">
        <w:rPr>
          <w:rFonts w:eastAsia="Calibri" w:cs="Arial"/>
          <w:lang w:val="en-US"/>
        </w:rPr>
        <w:t>, and the U</w:t>
      </w:r>
      <w:r w:rsidR="00BE72ED" w:rsidRPr="000D25B2">
        <w:rPr>
          <w:rFonts w:eastAsia="Calibri" w:cs="Arial"/>
          <w:lang w:val="en-US"/>
        </w:rPr>
        <w:t>K</w:t>
      </w:r>
      <w:r w:rsidRPr="000D25B2">
        <w:rPr>
          <w:rFonts w:eastAsia="Calibri" w:cs="Arial"/>
          <w:lang w:val="en-US"/>
        </w:rPr>
        <w:t>); and four for sheep meat (China, Oceania, the E</w:t>
      </w:r>
      <w:r w:rsidR="00BE72ED" w:rsidRPr="000D25B2">
        <w:rPr>
          <w:rFonts w:eastAsia="Calibri" w:cs="Arial"/>
          <w:lang w:val="en-US"/>
        </w:rPr>
        <w:t>U</w:t>
      </w:r>
      <w:r w:rsidRPr="000D25B2">
        <w:rPr>
          <w:rFonts w:eastAsia="Calibri" w:cs="Arial"/>
          <w:lang w:val="en-US"/>
        </w:rPr>
        <w:t>, and the U</w:t>
      </w:r>
      <w:r w:rsidR="00BE72ED" w:rsidRPr="000D25B2">
        <w:rPr>
          <w:rFonts w:eastAsia="Calibri" w:cs="Arial"/>
          <w:lang w:val="en-US"/>
        </w:rPr>
        <w:t>K</w:t>
      </w:r>
      <w:r w:rsidRPr="000D25B2">
        <w:rPr>
          <w:rFonts w:eastAsia="Calibri" w:cs="Arial"/>
          <w:lang w:val="en-US"/>
        </w:rPr>
        <w:t>)</w:t>
      </w:r>
    </w:p>
    <w:p w14:paraId="77117744" w14:textId="6E5EFCCD" w:rsidR="00E21E88" w:rsidRDefault="00E21E88" w:rsidP="00657B6C">
      <w:pPr>
        <w:pStyle w:val="berschrift1"/>
        <w:rPr>
          <w:lang w:val="en-GB"/>
        </w:rPr>
      </w:pPr>
      <w:r w:rsidRPr="00BA5853">
        <w:rPr>
          <w:lang w:val="en-GB"/>
        </w:rPr>
        <w:tab/>
      </w:r>
      <w:r w:rsidR="00596319" w:rsidRPr="00596319">
        <w:rPr>
          <w:lang w:val="en-GB"/>
        </w:rPr>
        <w:t xml:space="preserve">The </w:t>
      </w:r>
      <w:proofErr w:type="spellStart"/>
      <w:r w:rsidR="004412C9" w:rsidRPr="009F3143">
        <w:rPr>
          <w:i/>
          <w:iCs/>
          <w:lang w:val="en-GB"/>
        </w:rPr>
        <w:t>agri</w:t>
      </w:r>
      <w:proofErr w:type="spellEnd"/>
      <w:r w:rsidR="004412C9" w:rsidRPr="009F3143">
        <w:rPr>
          <w:i/>
          <w:iCs/>
          <w:lang w:val="en-GB"/>
        </w:rPr>
        <w:t xml:space="preserve"> benchmark</w:t>
      </w:r>
      <w:r w:rsidR="004412C9">
        <w:rPr>
          <w:lang w:val="en-GB"/>
        </w:rPr>
        <w:t xml:space="preserve"> Global Producer Price Indices</w:t>
      </w:r>
    </w:p>
    <w:p w14:paraId="741974BE" w14:textId="0DC7EABA" w:rsidR="004412C9" w:rsidRPr="004412C9" w:rsidRDefault="004412C9" w:rsidP="008217C0">
      <w:pPr>
        <w:pStyle w:val="berschrift2"/>
        <w:spacing w:before="240"/>
        <w:jc w:val="both"/>
        <w:rPr>
          <w:rtl/>
          <w:lang w:val="en-GB"/>
        </w:rPr>
      </w:pPr>
      <w:bookmarkStart w:id="0" w:name="_Toc533067629"/>
      <w:r>
        <w:rPr>
          <w:lang w:val="en-GB"/>
        </w:rPr>
        <w:tab/>
      </w:r>
      <w:bookmarkEnd w:id="0"/>
      <w:r w:rsidRPr="004412C9">
        <w:rPr>
          <w:lang w:val="en-GB"/>
        </w:rPr>
        <w:t>The Finished Cattle Price Index</w:t>
      </w:r>
    </w:p>
    <w:p w14:paraId="2CE5874B" w14:textId="48757680" w:rsidR="00826BC8" w:rsidRPr="000F0B8D" w:rsidRDefault="00826BC8" w:rsidP="008C69F3">
      <w:pPr>
        <w:spacing w:before="120" w:after="120" w:line="276" w:lineRule="auto"/>
        <w:rPr>
          <w:lang w:val="en-GB"/>
        </w:rPr>
      </w:pPr>
      <w:bookmarkStart w:id="1" w:name="_Hlk532411273"/>
      <w:r w:rsidRPr="000D25B2">
        <w:rPr>
          <w:lang w:val="en-US"/>
        </w:rPr>
        <w:t xml:space="preserve">The </w:t>
      </w:r>
      <w:proofErr w:type="spellStart"/>
      <w:r w:rsidR="00950DA0" w:rsidRPr="000D25B2">
        <w:rPr>
          <w:i/>
          <w:iCs/>
          <w:lang w:val="en-US"/>
        </w:rPr>
        <w:t>agri</w:t>
      </w:r>
      <w:proofErr w:type="spellEnd"/>
      <w:r w:rsidR="00950DA0" w:rsidRPr="000D25B2">
        <w:rPr>
          <w:i/>
          <w:iCs/>
          <w:lang w:val="en-US"/>
        </w:rPr>
        <w:t xml:space="preserve"> benchmark</w:t>
      </w:r>
      <w:r w:rsidRPr="000D25B2">
        <w:rPr>
          <w:lang w:val="en-US"/>
        </w:rPr>
        <w:t xml:space="preserve"> Finished Cattle Price Index comprises weighted finished cattle prices from 33 countries, encompassing all major beef-producing nations except India. </w:t>
      </w:r>
      <w:r w:rsidRPr="000F0B8D">
        <w:rPr>
          <w:lang w:val="en-GB"/>
        </w:rPr>
        <w:t>Collectively, these countries account for approximately 76</w:t>
      </w:r>
      <w:r w:rsidR="00870D14" w:rsidRPr="000F0B8D">
        <w:rPr>
          <w:lang w:val="en-GB"/>
        </w:rPr>
        <w:t xml:space="preserve"> percent</w:t>
      </w:r>
      <w:r w:rsidRPr="000F0B8D">
        <w:rPr>
          <w:lang w:val="en-GB"/>
        </w:rPr>
        <w:t xml:space="preserve"> of global beef production.</w:t>
      </w:r>
      <w:r w:rsidR="00950DA0" w:rsidRPr="000F0B8D">
        <w:rPr>
          <w:lang w:val="en-GB"/>
        </w:rPr>
        <w:t xml:space="preserve"> </w:t>
      </w:r>
    </w:p>
    <w:p w14:paraId="5435BEBD" w14:textId="5D4FF46D" w:rsidR="00596319" w:rsidRPr="000D25B2" w:rsidRDefault="003B4907" w:rsidP="008C69F3">
      <w:pPr>
        <w:spacing w:before="120" w:after="120" w:line="276" w:lineRule="auto"/>
        <w:rPr>
          <w:lang w:val="en-US"/>
        </w:rPr>
      </w:pPr>
      <w:r w:rsidRPr="000F0B8D">
        <w:rPr>
          <w:lang w:val="en-GB"/>
        </w:rPr>
        <w:t xml:space="preserve">As shown in Figure 1, </w:t>
      </w:r>
      <w:r w:rsidR="00950DA0" w:rsidRPr="000F0B8D">
        <w:rPr>
          <w:lang w:val="en-GB"/>
        </w:rPr>
        <w:t xml:space="preserve">the </w:t>
      </w:r>
      <w:proofErr w:type="spellStart"/>
      <w:r w:rsidR="00950DA0" w:rsidRPr="000F0B8D">
        <w:rPr>
          <w:i/>
          <w:iCs/>
          <w:lang w:val="en-GB"/>
        </w:rPr>
        <w:t>agri</w:t>
      </w:r>
      <w:proofErr w:type="spellEnd"/>
      <w:r w:rsidR="00950DA0" w:rsidRPr="000F0B8D">
        <w:rPr>
          <w:i/>
          <w:iCs/>
          <w:lang w:val="en-GB"/>
        </w:rPr>
        <w:t xml:space="preserve"> benchmark</w:t>
      </w:r>
      <w:r w:rsidR="00950DA0" w:rsidRPr="000F0B8D">
        <w:rPr>
          <w:lang w:val="en-GB"/>
        </w:rPr>
        <w:t xml:space="preserve"> Finished Cattle Price Index </w:t>
      </w:r>
      <w:r w:rsidR="00D41F90" w:rsidRPr="000F0B8D">
        <w:rPr>
          <w:lang w:val="en-GB"/>
        </w:rPr>
        <w:t>exhibited a pronounced upward trajectory in nearly every year between 2003 and 2014, peaking at a level approximately 150</w:t>
      </w:r>
      <w:r w:rsidR="00870D14" w:rsidRPr="000F0B8D">
        <w:rPr>
          <w:lang w:val="en-GB"/>
        </w:rPr>
        <w:t xml:space="preserve"> percent</w:t>
      </w:r>
      <w:r w:rsidR="00D41F90" w:rsidRPr="000F0B8D">
        <w:rPr>
          <w:lang w:val="en-GB"/>
        </w:rPr>
        <w:t xml:space="preserve"> above </w:t>
      </w:r>
      <w:r w:rsidR="00596319" w:rsidRPr="000F0B8D">
        <w:rPr>
          <w:lang w:val="en-GB"/>
        </w:rPr>
        <w:t xml:space="preserve">the </w:t>
      </w:r>
      <w:r w:rsidR="0074613D" w:rsidRPr="000F0B8D">
        <w:rPr>
          <w:lang w:val="en-GB"/>
        </w:rPr>
        <w:t>starting</w:t>
      </w:r>
      <w:r w:rsidR="00596319" w:rsidRPr="000F0B8D">
        <w:rPr>
          <w:lang w:val="en-GB"/>
        </w:rPr>
        <w:t xml:space="preserve"> period of 200</w:t>
      </w:r>
      <w:r w:rsidR="0074613D" w:rsidRPr="000F0B8D">
        <w:rPr>
          <w:lang w:val="en-GB"/>
        </w:rPr>
        <w:t>0</w:t>
      </w:r>
      <w:r w:rsidR="000F2942">
        <w:rPr>
          <w:lang w:val="en-GB"/>
        </w:rPr>
        <w:t>–</w:t>
      </w:r>
      <w:r w:rsidR="00596319" w:rsidRPr="000F0B8D">
        <w:rPr>
          <w:lang w:val="en-GB"/>
        </w:rPr>
        <w:t>200</w:t>
      </w:r>
      <w:r w:rsidR="0074613D" w:rsidRPr="000F0B8D">
        <w:rPr>
          <w:lang w:val="en-GB"/>
        </w:rPr>
        <w:t>2</w:t>
      </w:r>
      <w:r w:rsidR="00596319" w:rsidRPr="000F0B8D">
        <w:rPr>
          <w:lang w:val="en-GB"/>
        </w:rPr>
        <w:t xml:space="preserve">. </w:t>
      </w:r>
      <w:r w:rsidR="00596319" w:rsidRPr="000D25B2">
        <w:rPr>
          <w:lang w:val="en-US"/>
        </w:rPr>
        <w:t xml:space="preserve">This was driven mainly by price rises in China and Brazil commencing in 2007, and the US from 2010. Behind this was the influence of beef demand growth from expanding populations and incomes, especially in the US and developing </w:t>
      </w:r>
      <w:r w:rsidR="00D35033" w:rsidRPr="000D25B2">
        <w:rPr>
          <w:lang w:val="en-US"/>
        </w:rPr>
        <w:t xml:space="preserve">Asian </w:t>
      </w:r>
      <w:r w:rsidR="00596319" w:rsidRPr="000D25B2">
        <w:rPr>
          <w:lang w:val="en-US"/>
        </w:rPr>
        <w:t xml:space="preserve">countries, plus a lowering of import barriers in North Asia and China. Also contributing was slowing supply growth over that period, mainly due to land, feed, water and environmental constraints. </w:t>
      </w:r>
    </w:p>
    <w:p w14:paraId="1255E98D" w14:textId="53CA3E0A" w:rsidR="008D5FCB" w:rsidRPr="000F0B8D" w:rsidRDefault="00D41F90" w:rsidP="008C69F3">
      <w:pPr>
        <w:spacing w:before="120" w:after="120" w:line="276" w:lineRule="auto"/>
        <w:rPr>
          <w:lang w:val="en-GB"/>
        </w:rPr>
      </w:pPr>
      <w:r w:rsidRPr="000D25B2">
        <w:rPr>
          <w:lang w:val="en-US"/>
        </w:rPr>
        <w:t>Following the 2014 peak, the index declined over the subsequent two years, reflecting increased cattle production in North and South America and a temporary price correction in China</w:t>
      </w:r>
      <w:r w:rsidR="00D352F3" w:rsidRPr="000D25B2">
        <w:rPr>
          <w:lang w:val="en-US"/>
        </w:rPr>
        <w:t xml:space="preserve">. Between 2011 and 2020, </w:t>
      </w:r>
      <w:r w:rsidRPr="000D25B2">
        <w:rPr>
          <w:lang w:val="en-US"/>
        </w:rPr>
        <w:t>the index stabilized within a relatively narrow range, oscillating between 90 and 100 index point</w:t>
      </w:r>
      <w:r w:rsidR="008D0766">
        <w:rPr>
          <w:lang w:val="en-US"/>
        </w:rPr>
        <w:t>s</w:t>
      </w:r>
      <w:r w:rsidRPr="000D25B2">
        <w:rPr>
          <w:lang w:val="en-US"/>
        </w:rPr>
        <w:t xml:space="preserve"> (except for 2014, which reached 107 point</w:t>
      </w:r>
      <w:r w:rsidR="008D0766">
        <w:rPr>
          <w:lang w:val="en-US"/>
        </w:rPr>
        <w:t>s</w:t>
      </w:r>
      <w:r w:rsidRPr="000D25B2">
        <w:rPr>
          <w:lang w:val="en-US"/>
        </w:rPr>
        <w:t>)</w:t>
      </w:r>
      <w:r w:rsidR="00D352F3" w:rsidRPr="000D25B2">
        <w:rPr>
          <w:lang w:val="en-US"/>
        </w:rPr>
        <w:t>.</w:t>
      </w:r>
      <w:r w:rsidRPr="000D25B2">
        <w:rPr>
          <w:lang w:val="en-US"/>
        </w:rPr>
        <w:t xml:space="preserve"> </w:t>
      </w:r>
      <w:r w:rsidRPr="000F0B8D">
        <w:rPr>
          <w:lang w:val="en-GB"/>
        </w:rPr>
        <w:t>Subsequently, the index rose sharply to record levels in 2022, attaining 120 index point</w:t>
      </w:r>
      <w:r w:rsidR="009276F7" w:rsidRPr="000F0B8D">
        <w:rPr>
          <w:lang w:val="en-GB"/>
        </w:rPr>
        <w:t>s</w:t>
      </w:r>
      <w:r w:rsidRPr="000F0B8D">
        <w:rPr>
          <w:lang w:val="en-GB"/>
        </w:rPr>
        <w:t>, and maintained this level through 2023 and 2024 before reaching a new all-time high of 138 index point in 2025</w:t>
      </w:r>
      <w:r w:rsidR="008D5FCB" w:rsidRPr="000F0B8D">
        <w:rPr>
          <w:lang w:val="en-GB"/>
        </w:rPr>
        <w:t xml:space="preserve">. </w:t>
      </w:r>
    </w:p>
    <w:p w14:paraId="2CC3F03D" w14:textId="73E42D66" w:rsidR="008D5FCB" w:rsidRPr="008D5FCB" w:rsidRDefault="00120EBE" w:rsidP="008217C0">
      <w:pPr>
        <w:pStyle w:val="Abbildung"/>
        <w:rPr>
          <w:b w:val="0"/>
          <w:rtl/>
          <w:lang w:bidi="ar-QA"/>
        </w:rPr>
      </w:pPr>
      <w:r w:rsidRPr="000D25B2">
        <w:rPr>
          <w:lang w:val="en-US"/>
        </w:rPr>
        <w:lastRenderedPageBreak/>
        <w:t>Figure 1:</w:t>
      </w:r>
      <w:r w:rsidRPr="000D25B2">
        <w:rPr>
          <w:lang w:val="en-US"/>
        </w:rPr>
        <w:tab/>
      </w:r>
      <w:r w:rsidRPr="000D25B2">
        <w:rPr>
          <w:b w:val="0"/>
          <w:lang w:val="en-US"/>
        </w:rPr>
        <w:t xml:space="preserve">The </w:t>
      </w:r>
      <w:proofErr w:type="spellStart"/>
      <w:r w:rsidRPr="000D25B2">
        <w:rPr>
          <w:b w:val="0"/>
          <w:i/>
          <w:iCs/>
          <w:lang w:val="en-US"/>
        </w:rPr>
        <w:t>agri</w:t>
      </w:r>
      <w:proofErr w:type="spellEnd"/>
      <w:r w:rsidRPr="000D25B2">
        <w:rPr>
          <w:b w:val="0"/>
          <w:i/>
          <w:iCs/>
          <w:lang w:val="en-US"/>
        </w:rPr>
        <w:t xml:space="preserve"> benchmark</w:t>
      </w:r>
      <w:r w:rsidRPr="000D25B2">
        <w:rPr>
          <w:b w:val="0"/>
          <w:lang w:val="en-US"/>
        </w:rPr>
        <w:t xml:space="preserve"> </w:t>
      </w:r>
      <w:bookmarkStart w:id="2" w:name="_Hlk210997144"/>
      <w:r w:rsidRPr="000D25B2">
        <w:rPr>
          <w:b w:val="0"/>
          <w:lang w:val="en-US"/>
        </w:rPr>
        <w:t>Finished Cattle Producer Price Index</w:t>
      </w:r>
      <w:bookmarkEnd w:id="2"/>
    </w:p>
    <w:p w14:paraId="39BA5615" w14:textId="5B01DF64" w:rsidR="00657B6C" w:rsidRDefault="00D16DF0" w:rsidP="00657B6C">
      <w:pPr>
        <w:pStyle w:val="Grafik"/>
        <w:rPr>
          <w:szCs w:val="24"/>
          <w:lang w:val="en-GB"/>
        </w:rPr>
      </w:pPr>
      <w:r>
        <w:drawing>
          <wp:inline distT="0" distB="0" distL="0" distR="0" wp14:anchorId="606C7F27" wp14:editId="757A0211">
            <wp:extent cx="5943600" cy="3017520"/>
            <wp:effectExtent l="0" t="0" r="0" b="0"/>
            <wp:docPr id="1527039423" name="Chart 1">
              <a:extLst xmlns:a="http://schemas.openxmlformats.org/drawingml/2006/main">
                <a:ext uri="{FF2B5EF4-FFF2-40B4-BE49-F238E27FC236}">
                  <a16:creationId xmlns:a16="http://schemas.microsoft.com/office/drawing/2014/main" id="{3A9DEAFE-6C36-4981-A12F-2C41CAC23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FA8AB6" w14:textId="773D0175" w:rsidR="000A7E1F" w:rsidRPr="00220A48" w:rsidRDefault="00657B6C" w:rsidP="00220A48">
      <w:pPr>
        <w:pStyle w:val="Quelle"/>
        <w:ind w:left="709" w:hanging="709"/>
        <w:rPr>
          <w:lang w:val="en-US"/>
        </w:rPr>
      </w:pPr>
      <w:r>
        <w:rPr>
          <w:lang w:val="en-GB"/>
        </w:rPr>
        <w:t>Source:</w:t>
      </w:r>
      <w:r>
        <w:rPr>
          <w:lang w:val="en-GB"/>
        </w:rPr>
        <w:tab/>
        <w:t xml:space="preserve">National data, own </w:t>
      </w:r>
      <w:proofErr w:type="gramStart"/>
      <w:r>
        <w:rPr>
          <w:lang w:val="en-GB"/>
        </w:rPr>
        <w:t>calculations.</w:t>
      </w:r>
      <w:r w:rsidR="000A7E1F">
        <w:rPr>
          <w:lang w:val="en-GB"/>
        </w:rPr>
        <w:t>*</w:t>
      </w:r>
      <w:proofErr w:type="gramEnd"/>
      <w:r w:rsidR="000A7E1F">
        <w:rPr>
          <w:lang w:val="en-GB"/>
        </w:rPr>
        <w:t xml:space="preserve"> </w:t>
      </w:r>
      <w:r w:rsidR="00220A48" w:rsidRPr="00220A48">
        <w:rPr>
          <w:lang w:val="en-US"/>
        </w:rPr>
        <w:t>2025 data represents January through June.</w:t>
      </w:r>
    </w:p>
    <w:p w14:paraId="5886FA10" w14:textId="2CA2FC7D" w:rsidR="007151A9" w:rsidRPr="000D25B2" w:rsidRDefault="007151A9" w:rsidP="00657B6C">
      <w:pPr>
        <w:pStyle w:val="NachAbbTab"/>
        <w:rPr>
          <w:lang w:val="en-US"/>
        </w:rPr>
      </w:pPr>
      <w:r w:rsidRPr="000D25B2">
        <w:rPr>
          <w:lang w:val="en-US"/>
        </w:rPr>
        <w:t xml:space="preserve">To gain deeper insight into the substantial increase in the </w:t>
      </w:r>
      <w:proofErr w:type="spellStart"/>
      <w:r w:rsidRPr="000D25B2">
        <w:rPr>
          <w:i/>
          <w:iCs/>
          <w:lang w:val="en-US"/>
        </w:rPr>
        <w:t>agri</w:t>
      </w:r>
      <w:proofErr w:type="spellEnd"/>
      <w:r w:rsidRPr="000D25B2">
        <w:rPr>
          <w:i/>
          <w:iCs/>
          <w:lang w:val="en-US"/>
        </w:rPr>
        <w:t xml:space="preserve"> benchmark</w:t>
      </w:r>
      <w:r w:rsidRPr="000D25B2">
        <w:rPr>
          <w:lang w:val="en-US"/>
        </w:rPr>
        <w:t xml:space="preserve"> Finished Cattle Price Index observed since 2021</w:t>
      </w:r>
      <w:r w:rsidR="008D5FCB" w:rsidRPr="000D25B2">
        <w:rPr>
          <w:lang w:val="en-US"/>
        </w:rPr>
        <w:t xml:space="preserve">, </w:t>
      </w:r>
      <w:r w:rsidRPr="000D25B2">
        <w:rPr>
          <w:lang w:val="en-US"/>
        </w:rPr>
        <w:t>regional sub-indices were developed for major production regions contributing significantly to global beef production over the 2014–2016 base period</w:t>
      </w:r>
    </w:p>
    <w:p w14:paraId="642B2798" w14:textId="5F60D0F6" w:rsidR="007151A9" w:rsidRPr="000F0B8D" w:rsidRDefault="007151A9" w:rsidP="008C69F3">
      <w:pPr>
        <w:spacing w:before="120" w:after="120" w:line="276" w:lineRule="auto"/>
        <w:rPr>
          <w:lang w:val="en-GB"/>
        </w:rPr>
      </w:pPr>
      <w:r w:rsidRPr="000F0B8D">
        <w:rPr>
          <w:lang w:val="en-GB"/>
        </w:rPr>
        <w:t>Four sub-indices were identified; North America, South America, the E</w:t>
      </w:r>
      <w:r w:rsidR="00BE72ED" w:rsidRPr="000F0B8D">
        <w:rPr>
          <w:lang w:val="en-GB"/>
        </w:rPr>
        <w:t>U</w:t>
      </w:r>
      <w:r w:rsidRPr="000F0B8D">
        <w:rPr>
          <w:lang w:val="en-GB"/>
        </w:rPr>
        <w:t>, and China, collectively accounting for approximately 88</w:t>
      </w:r>
      <w:r w:rsidR="00870D14" w:rsidRPr="000F0B8D">
        <w:rPr>
          <w:lang w:val="en-GB"/>
        </w:rPr>
        <w:t xml:space="preserve"> percent</w:t>
      </w:r>
      <w:r w:rsidRPr="000F0B8D">
        <w:rPr>
          <w:lang w:val="en-GB"/>
        </w:rPr>
        <w:t xml:space="preserve"> of the total production weightings in the index as an average over the base period.</w:t>
      </w:r>
    </w:p>
    <w:p w14:paraId="5FCC266E" w14:textId="433F1229" w:rsidR="00250EDB" w:rsidRPr="00B21F18" w:rsidRDefault="00250EDB" w:rsidP="003A211C">
      <w:pPr>
        <w:pStyle w:val="Zwischenberschrift"/>
        <w:rPr>
          <w:lang w:val="en-GB"/>
        </w:rPr>
      </w:pPr>
      <w:bookmarkStart w:id="3" w:name="_Hlk211026142"/>
      <w:r w:rsidRPr="00B21F18">
        <w:rPr>
          <w:lang w:val="en-GB"/>
        </w:rPr>
        <w:t>The North America</w:t>
      </w:r>
      <w:r w:rsidR="001C6213" w:rsidRPr="000D25B2">
        <w:rPr>
          <w:lang w:val="en-US"/>
        </w:rPr>
        <w:t xml:space="preserve"> </w:t>
      </w:r>
      <w:r w:rsidR="001C6213" w:rsidRPr="00B21F18">
        <w:rPr>
          <w:lang w:val="en-GB"/>
        </w:rPr>
        <w:t>Finished Cattle Producer Price Index</w:t>
      </w:r>
    </w:p>
    <w:bookmarkEnd w:id="3"/>
    <w:p w14:paraId="3347899A" w14:textId="5211DC3E" w:rsidR="008D5FCB" w:rsidRPr="008D0766" w:rsidRDefault="001C6213" w:rsidP="008C69F3">
      <w:pPr>
        <w:spacing w:before="120" w:after="120" w:line="276" w:lineRule="auto"/>
        <w:rPr>
          <w:lang w:val="en-GB"/>
        </w:rPr>
      </w:pPr>
      <w:r w:rsidRPr="000F0B8D">
        <w:rPr>
          <w:lang w:val="en-GB"/>
        </w:rPr>
        <w:t xml:space="preserve">North America </w:t>
      </w:r>
      <w:r w:rsidR="007151A9" w:rsidRPr="000F0B8D">
        <w:rPr>
          <w:lang w:val="en-GB"/>
        </w:rPr>
        <w:t xml:space="preserve">Price Index </w:t>
      </w:r>
      <w:r w:rsidR="006B2A59">
        <w:rPr>
          <w:lang w:val="en-GB"/>
        </w:rPr>
        <w:t>(</w:t>
      </w:r>
      <w:r w:rsidRPr="000F0B8D">
        <w:rPr>
          <w:lang w:val="en-GB"/>
        </w:rPr>
        <w:t>includ</w:t>
      </w:r>
      <w:r w:rsidR="006B2A59">
        <w:rPr>
          <w:lang w:val="en-GB"/>
        </w:rPr>
        <w:t>ing</w:t>
      </w:r>
      <w:r w:rsidR="007151A9" w:rsidRPr="000F0B8D">
        <w:rPr>
          <w:lang w:val="en-GB"/>
        </w:rPr>
        <w:t xml:space="preserve"> the United States, Canada, and Mexico</w:t>
      </w:r>
      <w:r w:rsidR="006B2A59">
        <w:rPr>
          <w:lang w:val="en-GB"/>
        </w:rPr>
        <w:t>)</w:t>
      </w:r>
      <w:r w:rsidR="007151A9" w:rsidRPr="000F0B8D">
        <w:rPr>
          <w:lang w:val="en-GB"/>
        </w:rPr>
        <w:t xml:space="preserve"> represents 28</w:t>
      </w:r>
      <w:r w:rsidR="00870D14" w:rsidRPr="000F0B8D">
        <w:rPr>
          <w:lang w:val="en-GB"/>
        </w:rPr>
        <w:t xml:space="preserve"> percent</w:t>
      </w:r>
      <w:r w:rsidR="007151A9" w:rsidRPr="000F0B8D">
        <w:rPr>
          <w:lang w:val="en-GB"/>
        </w:rPr>
        <w:t xml:space="preserve"> of the overall index weighting during the base period, with the United States contributing approximately 22</w:t>
      </w:r>
      <w:r w:rsidR="00870D14">
        <w:rPr>
          <w:lang w:val="en-GB"/>
        </w:rPr>
        <w:t xml:space="preserve"> percent</w:t>
      </w:r>
      <w:r w:rsidR="007151A9" w:rsidRPr="000F0B8D">
        <w:rPr>
          <w:lang w:val="en-GB"/>
        </w:rPr>
        <w:t>.</w:t>
      </w:r>
      <w:r w:rsidR="0025400C" w:rsidRPr="000F0B8D">
        <w:rPr>
          <w:lang w:val="en-GB"/>
        </w:rPr>
        <w:t xml:space="preserve"> </w:t>
      </w:r>
      <w:r w:rsidRPr="008D0766">
        <w:rPr>
          <w:lang w:val="en-GB"/>
        </w:rPr>
        <w:t xml:space="preserve">As shown in </w:t>
      </w:r>
      <w:r w:rsidR="00794F3D" w:rsidRPr="008D0766">
        <w:rPr>
          <w:lang w:val="en-GB"/>
        </w:rPr>
        <w:t>F</w:t>
      </w:r>
      <w:r w:rsidRPr="008D0766">
        <w:rPr>
          <w:lang w:val="en-GB"/>
        </w:rPr>
        <w:t xml:space="preserve">igure 2, </w:t>
      </w:r>
      <w:r w:rsidR="007151A9" w:rsidRPr="008D0766">
        <w:rPr>
          <w:lang w:val="en-GB"/>
        </w:rPr>
        <w:t>this regional index demonstrates a steady and pronounced increase from 79 index point</w:t>
      </w:r>
      <w:r w:rsidR="006B2A59" w:rsidRPr="008D0766">
        <w:rPr>
          <w:lang w:val="en-GB"/>
        </w:rPr>
        <w:t>s</w:t>
      </w:r>
      <w:r w:rsidR="007151A9" w:rsidRPr="008D0766">
        <w:rPr>
          <w:lang w:val="en-GB"/>
        </w:rPr>
        <w:t xml:space="preserve"> in 2020 to 164 index point</w:t>
      </w:r>
      <w:r w:rsidR="006B2A59" w:rsidRPr="008D0766">
        <w:rPr>
          <w:lang w:val="en-GB"/>
        </w:rPr>
        <w:t>s</w:t>
      </w:r>
      <w:r w:rsidR="007151A9" w:rsidRPr="008D0766">
        <w:rPr>
          <w:lang w:val="en-GB"/>
        </w:rPr>
        <w:t xml:space="preserve"> in 2025. Several interrelated factors underpin this growth:</w:t>
      </w:r>
    </w:p>
    <w:p w14:paraId="11FF2C37" w14:textId="77777777" w:rsidR="00FE1E6B" w:rsidRDefault="00FE1E6B" w:rsidP="00657B6C">
      <w:pPr>
        <w:pStyle w:val="Liste-1"/>
        <w:rPr>
          <w:lang w:val="en-GB"/>
        </w:rPr>
      </w:pPr>
      <w:r w:rsidRPr="00FE1E6B">
        <w:rPr>
          <w:lang w:val="en-GB"/>
        </w:rPr>
        <w:t>The rebound of the food service sector and resurgent domestic consumer demand for beef in 2021 and 2022 following the COVID-19 pandemic supported stronger prices.</w:t>
      </w:r>
    </w:p>
    <w:p w14:paraId="77A09E7E" w14:textId="6429003E" w:rsidR="001C6213" w:rsidRPr="00AD4A48" w:rsidRDefault="00FE1E6B" w:rsidP="00657B6C">
      <w:pPr>
        <w:pStyle w:val="Liste-1"/>
        <w:rPr>
          <w:lang w:val="en-GB"/>
        </w:rPr>
      </w:pPr>
      <w:r w:rsidRPr="000D25B2">
        <w:rPr>
          <w:lang w:val="en-US"/>
        </w:rPr>
        <w:t>A prolonged megadrought across southwestern North America led to constrained feed availability and elevated feed costs</w:t>
      </w:r>
      <w:r w:rsidR="001C6213" w:rsidRPr="000D25B2">
        <w:rPr>
          <w:lang w:val="en-US"/>
        </w:rPr>
        <w:t>.</w:t>
      </w:r>
      <w:r w:rsidR="00AD4A48" w:rsidRPr="000D25B2">
        <w:rPr>
          <w:lang w:val="en-US"/>
        </w:rPr>
        <w:t xml:space="preserve"> </w:t>
      </w:r>
      <w:r w:rsidRPr="000D25B2">
        <w:rPr>
          <w:lang w:val="en-US"/>
        </w:rPr>
        <w:t>These conditions, combined with high input prices, prompted producers to market an unusually high proportion of female cattle, resulting in the smallest U.S. beef herd since 1951. As of January 1, 2025, the total cattle and calf inventory in the U</w:t>
      </w:r>
      <w:r w:rsidR="00222CE9" w:rsidRPr="000D25B2">
        <w:rPr>
          <w:lang w:val="en-US"/>
        </w:rPr>
        <w:t xml:space="preserve">S </w:t>
      </w:r>
      <w:r w:rsidRPr="000D25B2">
        <w:rPr>
          <w:lang w:val="en-US"/>
        </w:rPr>
        <w:t>stood at 86.7 million head.</w:t>
      </w:r>
    </w:p>
    <w:p w14:paraId="0DAAE546" w14:textId="51DF32D9" w:rsidR="00AD4A48" w:rsidRPr="000F0B8D" w:rsidRDefault="00FE1E6B" w:rsidP="00657B6C">
      <w:pPr>
        <w:pStyle w:val="Liste-1"/>
        <w:rPr>
          <w:lang w:val="en-GB"/>
        </w:rPr>
      </w:pPr>
      <w:r w:rsidRPr="000D25B2">
        <w:rPr>
          <w:lang w:val="en-US"/>
        </w:rPr>
        <w:t xml:space="preserve">Despite elevated beef prices, robust economic growth and strong consumer spending sustained domestic consumption. </w:t>
      </w:r>
      <w:r w:rsidRPr="000F0B8D">
        <w:rPr>
          <w:lang w:val="en-GB"/>
        </w:rPr>
        <w:t>Per capita beef consumption in the U</w:t>
      </w:r>
      <w:r w:rsidR="00222CE9" w:rsidRPr="000F0B8D">
        <w:rPr>
          <w:lang w:val="en-GB"/>
        </w:rPr>
        <w:t xml:space="preserve">S </w:t>
      </w:r>
      <w:r w:rsidRPr="000F0B8D">
        <w:rPr>
          <w:lang w:val="en-GB"/>
        </w:rPr>
        <w:t>reached 26.8 kg in 2024, reflecting a year-on-year increase of 1.7</w:t>
      </w:r>
      <w:r w:rsidR="00870D14" w:rsidRPr="000F0B8D">
        <w:rPr>
          <w:lang w:val="en-GB"/>
        </w:rPr>
        <w:t xml:space="preserve"> percent</w:t>
      </w:r>
      <w:r w:rsidRPr="000F0B8D">
        <w:rPr>
          <w:lang w:val="en-GB"/>
        </w:rPr>
        <w:t>.</w:t>
      </w:r>
    </w:p>
    <w:p w14:paraId="72ACE8A2" w14:textId="34F7ADAC" w:rsidR="005040BC" w:rsidRPr="000D25B2" w:rsidRDefault="00FE1E6B" w:rsidP="00657B6C">
      <w:pPr>
        <w:pStyle w:val="Liste-1"/>
        <w:rPr>
          <w:lang w:val="en-US"/>
        </w:rPr>
      </w:pPr>
      <w:r w:rsidRPr="000D25B2">
        <w:rPr>
          <w:lang w:val="en-US"/>
        </w:rPr>
        <w:t>With tightening domestic supplies and persistent demand, U.S. beef exports fell to 1.4 million tons in 2024, the lowest level since 2020, while imports reached a record 2.1 million tons.</w:t>
      </w:r>
    </w:p>
    <w:p w14:paraId="1CB91AD4" w14:textId="66054FBF" w:rsidR="00425433" w:rsidRPr="000D25B2" w:rsidRDefault="0025400C" w:rsidP="00657B6C">
      <w:pPr>
        <w:pStyle w:val="Liste-1"/>
        <w:rPr>
          <w:lang w:val="en-US" w:bidi="ar-QA"/>
        </w:rPr>
      </w:pPr>
      <w:r w:rsidRPr="000D25B2">
        <w:rPr>
          <w:lang w:val="en-US" w:bidi="ar-QA"/>
        </w:rPr>
        <w:t xml:space="preserve">As the drought </w:t>
      </w:r>
      <w:r w:rsidR="00BA5D22" w:rsidRPr="000D25B2">
        <w:rPr>
          <w:lang w:val="en-US" w:bidi="ar-QA"/>
        </w:rPr>
        <w:t xml:space="preserve">conditions </w:t>
      </w:r>
      <w:r w:rsidRPr="000D25B2">
        <w:rPr>
          <w:lang w:val="en-US" w:bidi="ar-QA"/>
        </w:rPr>
        <w:t>receded in 2025</w:t>
      </w:r>
      <w:r w:rsidR="00BA5D22" w:rsidRPr="000D25B2">
        <w:rPr>
          <w:lang w:val="en-US" w:bidi="ar-QA"/>
        </w:rPr>
        <w:t xml:space="preserve"> and the economy is holding,</w:t>
      </w:r>
      <w:r w:rsidRPr="000D25B2">
        <w:rPr>
          <w:lang w:val="en-US" w:bidi="ar-QA"/>
        </w:rPr>
        <w:t xml:space="preserve"> </w:t>
      </w:r>
      <w:r w:rsidR="00FE1E6B" w:rsidRPr="000D25B2">
        <w:rPr>
          <w:lang w:val="en-US" w:bidi="ar-QA"/>
        </w:rPr>
        <w:t>herd rebuilding efforts are anticipated to commence.</w:t>
      </w:r>
      <w:r w:rsidR="007C52A3" w:rsidRPr="000D25B2">
        <w:rPr>
          <w:lang w:val="en-US" w:bidi="ar-QA"/>
        </w:rPr>
        <w:t xml:space="preserve"> </w:t>
      </w:r>
      <w:r w:rsidR="00FE1E6B" w:rsidRPr="000D25B2">
        <w:rPr>
          <w:lang w:val="en-US" w:bidi="ar-QA"/>
        </w:rPr>
        <w:t>This transition is expected to temporarily constrain beef supply, thereby maintaining high price levels through 2025 and into 2026</w:t>
      </w:r>
      <w:r w:rsidR="007C52A3" w:rsidRPr="000D25B2">
        <w:rPr>
          <w:lang w:val="en-US" w:bidi="ar-QA"/>
        </w:rPr>
        <w:t>.</w:t>
      </w:r>
    </w:p>
    <w:p w14:paraId="2AC10786" w14:textId="55D763DA" w:rsidR="00425433" w:rsidRPr="00B21F18" w:rsidRDefault="00C67096" w:rsidP="003A211C">
      <w:pPr>
        <w:pStyle w:val="Zwischenberschrift"/>
        <w:rPr>
          <w:lang w:val="en-GB"/>
        </w:rPr>
      </w:pPr>
      <w:r w:rsidRPr="00B21F18">
        <w:rPr>
          <w:lang w:val="en-GB"/>
        </w:rPr>
        <w:lastRenderedPageBreak/>
        <w:t xml:space="preserve">The </w:t>
      </w:r>
      <w:r w:rsidR="00794F3D" w:rsidRPr="00B21F18">
        <w:rPr>
          <w:lang w:val="en-GB"/>
        </w:rPr>
        <w:t xml:space="preserve">EU </w:t>
      </w:r>
      <w:r w:rsidRPr="00B21F18">
        <w:rPr>
          <w:lang w:val="en-GB"/>
        </w:rPr>
        <w:t>Finished Cattle Producer Price Index</w:t>
      </w:r>
    </w:p>
    <w:p w14:paraId="31E0BF27" w14:textId="160C0B70" w:rsidR="00350445" w:rsidRPr="000D25B2" w:rsidRDefault="008217C0" w:rsidP="008C69F3">
      <w:pPr>
        <w:spacing w:before="120" w:after="120" w:line="276" w:lineRule="auto"/>
        <w:rPr>
          <w:lang w:val="en-US"/>
        </w:rPr>
      </w:pPr>
      <w:r w:rsidRPr="000D25B2">
        <w:rPr>
          <w:lang w:val="en-US"/>
        </w:rPr>
        <w:t>Similar to trends observed in North America</w:t>
      </w:r>
      <w:r w:rsidR="00242D50" w:rsidRPr="000D25B2">
        <w:rPr>
          <w:lang w:val="en-US"/>
        </w:rPr>
        <w:t>, the EU Price Index</w:t>
      </w:r>
      <w:r w:rsidR="00794F3D" w:rsidRPr="000D25B2">
        <w:rPr>
          <w:lang w:val="en-US"/>
        </w:rPr>
        <w:t xml:space="preserve"> </w:t>
      </w:r>
      <w:r w:rsidRPr="000D25B2">
        <w:rPr>
          <w:lang w:val="en-US"/>
        </w:rPr>
        <w:t>has shown a sustained upward movement</w:t>
      </w:r>
      <w:r w:rsidR="00350445" w:rsidRPr="000D25B2">
        <w:rPr>
          <w:lang w:val="en-US"/>
        </w:rPr>
        <w:t xml:space="preserve">, </w:t>
      </w:r>
      <w:r w:rsidRPr="000D25B2">
        <w:rPr>
          <w:lang w:val="en-US"/>
        </w:rPr>
        <w:t xml:space="preserve">reaching a record high of 158 index point in 2025 </w:t>
      </w:r>
      <w:r w:rsidR="00350445" w:rsidRPr="000D25B2">
        <w:rPr>
          <w:lang w:val="en-US"/>
        </w:rPr>
        <w:t>(Figure 2)</w:t>
      </w:r>
      <w:r w:rsidR="00CE192B" w:rsidRPr="000D25B2">
        <w:rPr>
          <w:lang w:val="en-US"/>
        </w:rPr>
        <w:t>.</w:t>
      </w:r>
      <w:r w:rsidR="00256D40" w:rsidRPr="000D25B2">
        <w:rPr>
          <w:lang w:val="en-US"/>
        </w:rPr>
        <w:t xml:space="preserve"> </w:t>
      </w:r>
      <w:r w:rsidRPr="000D25B2">
        <w:rPr>
          <w:lang w:val="en-US"/>
        </w:rPr>
        <w:t>This increase reflects the combined effects of several market disruptions, including declining cattle inventories and beef production, drought conditions, rising input costs, and the spread of bovine diseases</w:t>
      </w:r>
      <w:r w:rsidR="00350445" w:rsidRPr="000D25B2">
        <w:rPr>
          <w:lang w:val="en-US"/>
        </w:rPr>
        <w:t xml:space="preserve">. </w:t>
      </w:r>
    </w:p>
    <w:p w14:paraId="5D1A9FA6" w14:textId="3469DDA2" w:rsidR="00350445" w:rsidRPr="000F0B8D" w:rsidRDefault="008217C0" w:rsidP="008C69F3">
      <w:pPr>
        <w:spacing w:before="120" w:after="120" w:line="276" w:lineRule="auto"/>
        <w:rPr>
          <w:lang w:val="en-GB"/>
        </w:rPr>
      </w:pPr>
      <w:r w:rsidRPr="000F0B8D">
        <w:rPr>
          <w:lang w:val="en-GB"/>
        </w:rPr>
        <w:t>In 2024, the European dairy herd fell to 19.2 million cows, a 3.4</w:t>
      </w:r>
      <w:r w:rsidR="00870D14" w:rsidRPr="000F0B8D">
        <w:rPr>
          <w:lang w:val="en-GB"/>
        </w:rPr>
        <w:t xml:space="preserve"> percent</w:t>
      </w:r>
      <w:r w:rsidRPr="000F0B8D">
        <w:rPr>
          <w:lang w:val="en-GB"/>
        </w:rPr>
        <w:t xml:space="preserve"> year-on-year decrease and the lowest level in decades. Consequently, beef production declined sharply across major EU producers, registering levels 7</w:t>
      </w:r>
      <w:r w:rsidR="00870D14" w:rsidRPr="000F0B8D">
        <w:rPr>
          <w:lang w:val="en-GB"/>
        </w:rPr>
        <w:t xml:space="preserve"> percent</w:t>
      </w:r>
      <w:r w:rsidRPr="000F0B8D">
        <w:rPr>
          <w:lang w:val="en-GB"/>
        </w:rPr>
        <w:t xml:space="preserve"> below the five-year average in France, 5</w:t>
      </w:r>
      <w:r w:rsidR="00870D14">
        <w:rPr>
          <w:lang w:val="en-GB"/>
        </w:rPr>
        <w:t xml:space="preserve"> percent</w:t>
      </w:r>
      <w:r w:rsidRPr="000F0B8D">
        <w:rPr>
          <w:lang w:val="en-GB"/>
        </w:rPr>
        <w:t xml:space="preserve"> in Germany, and 9</w:t>
      </w:r>
      <w:r w:rsidR="00870D14">
        <w:rPr>
          <w:lang w:val="en-GB"/>
        </w:rPr>
        <w:t xml:space="preserve"> percent</w:t>
      </w:r>
      <w:r w:rsidRPr="000F0B8D">
        <w:rPr>
          <w:lang w:val="en-GB"/>
        </w:rPr>
        <w:t xml:space="preserve"> in Italy.</w:t>
      </w:r>
      <w:r w:rsidR="00194981" w:rsidRPr="000F0B8D">
        <w:rPr>
          <w:lang w:val="en-GB"/>
        </w:rPr>
        <w:t xml:space="preserve"> </w:t>
      </w:r>
    </w:p>
    <w:p w14:paraId="1EFCB274" w14:textId="2B0BEC00" w:rsidR="00194981" w:rsidRPr="000D25B2" w:rsidRDefault="008217C0" w:rsidP="008C69F3">
      <w:pPr>
        <w:spacing w:before="120" w:after="120" w:line="276" w:lineRule="auto"/>
        <w:rPr>
          <w:lang w:val="en-US"/>
        </w:rPr>
      </w:pPr>
      <w:r w:rsidRPr="000D25B2">
        <w:rPr>
          <w:lang w:val="en-US"/>
        </w:rPr>
        <w:t>The contraction of the European cattle herd is driven by multiple structural factors</w:t>
      </w:r>
      <w:r w:rsidR="00194981" w:rsidRPr="000D25B2">
        <w:rPr>
          <w:lang w:val="en-US"/>
        </w:rPr>
        <w:t>:</w:t>
      </w:r>
    </w:p>
    <w:p w14:paraId="6760D3B9" w14:textId="1FEE97DB" w:rsidR="008217C0" w:rsidRPr="000D25B2" w:rsidRDefault="008217C0" w:rsidP="00657B6C">
      <w:pPr>
        <w:pStyle w:val="Liste-1"/>
        <w:rPr>
          <w:lang w:val="en-US"/>
        </w:rPr>
      </w:pPr>
      <w:r w:rsidRPr="000D25B2">
        <w:rPr>
          <w:lang w:val="en-US"/>
        </w:rPr>
        <w:t>Regulatory pressures: Stricter environmental and sustainability standards have increased compliance costs, encouraging herd reductions.</w:t>
      </w:r>
    </w:p>
    <w:p w14:paraId="12AFACEE" w14:textId="38821F8F" w:rsidR="008217C0" w:rsidRPr="000D25B2" w:rsidRDefault="008217C0" w:rsidP="00657B6C">
      <w:pPr>
        <w:pStyle w:val="Liste-1"/>
        <w:rPr>
          <w:lang w:val="en-US"/>
        </w:rPr>
      </w:pPr>
      <w:r w:rsidRPr="000D25B2">
        <w:rPr>
          <w:lang w:val="en-US"/>
        </w:rPr>
        <w:t>Economic constraints: Elevated costs of feed, fertilizer, calves, and labor have eroded profit margins, limiting farmers’ capacity to sustain herd sizes despite high carcass and milk prices.</w:t>
      </w:r>
    </w:p>
    <w:p w14:paraId="5DD642B3" w14:textId="23AC665E" w:rsidR="008217C0" w:rsidRPr="000D25B2" w:rsidRDefault="008217C0" w:rsidP="00657B6C">
      <w:pPr>
        <w:pStyle w:val="Liste-1"/>
        <w:rPr>
          <w:lang w:val="en-US"/>
        </w:rPr>
      </w:pPr>
      <w:r w:rsidRPr="000D25B2">
        <w:rPr>
          <w:lang w:val="en-US"/>
        </w:rPr>
        <w:t>Climatic challenges: Extreme weather events, including droughts and floods, have reduced feed availability and degraded pasture conditions.</w:t>
      </w:r>
    </w:p>
    <w:p w14:paraId="5F82FAA4" w14:textId="5C686425" w:rsidR="00794F3D" w:rsidRPr="000F0B8D" w:rsidRDefault="008217C0" w:rsidP="00657B6C">
      <w:pPr>
        <w:pStyle w:val="Liste-1"/>
        <w:rPr>
          <w:lang w:val="en-GB"/>
        </w:rPr>
      </w:pPr>
      <w:r w:rsidRPr="000F0B8D">
        <w:rPr>
          <w:lang w:val="en-GB"/>
        </w:rPr>
        <w:t>Demographic trends: An aging farming population, only 12</w:t>
      </w:r>
      <w:r w:rsidR="00870D14" w:rsidRPr="000F0B8D">
        <w:rPr>
          <w:lang w:val="en-GB"/>
        </w:rPr>
        <w:t xml:space="preserve"> percent</w:t>
      </w:r>
      <w:r w:rsidRPr="000F0B8D">
        <w:rPr>
          <w:lang w:val="en-GB"/>
        </w:rPr>
        <w:t xml:space="preserve"> of EU farmers are under 40, has led to herd reductions as retiring producers lack successors</w:t>
      </w:r>
      <w:r w:rsidR="00194981" w:rsidRPr="000F0B8D">
        <w:rPr>
          <w:lang w:val="en-GB"/>
        </w:rPr>
        <w:t>.</w:t>
      </w:r>
    </w:p>
    <w:p w14:paraId="7FC3D14F" w14:textId="77777777" w:rsidR="0094507A" w:rsidRDefault="0094507A" w:rsidP="008217C0">
      <w:pPr>
        <w:pStyle w:val="Abbildung"/>
        <w:rPr>
          <w:b w:val="0"/>
          <w:lang w:val="en-US"/>
        </w:rPr>
      </w:pPr>
      <w:r w:rsidRPr="000D25B2">
        <w:rPr>
          <w:lang w:val="en-US"/>
        </w:rPr>
        <w:t>Figure 2:</w:t>
      </w:r>
      <w:r w:rsidRPr="000D25B2">
        <w:rPr>
          <w:lang w:val="en-US"/>
        </w:rPr>
        <w:tab/>
      </w:r>
      <w:r w:rsidRPr="000D25B2">
        <w:rPr>
          <w:b w:val="0"/>
          <w:lang w:val="en-US"/>
        </w:rPr>
        <w:t xml:space="preserve">The </w:t>
      </w:r>
      <w:proofErr w:type="spellStart"/>
      <w:r w:rsidRPr="000D25B2">
        <w:rPr>
          <w:b w:val="0"/>
          <w:i/>
          <w:iCs/>
          <w:lang w:val="en-US"/>
        </w:rPr>
        <w:t>agri</w:t>
      </w:r>
      <w:proofErr w:type="spellEnd"/>
      <w:r w:rsidRPr="000D25B2">
        <w:rPr>
          <w:b w:val="0"/>
          <w:i/>
          <w:iCs/>
          <w:lang w:val="en-US"/>
        </w:rPr>
        <w:t xml:space="preserve"> benchmark</w:t>
      </w:r>
      <w:r w:rsidRPr="000D25B2">
        <w:rPr>
          <w:b w:val="0"/>
          <w:lang w:val="en-US"/>
        </w:rPr>
        <w:t xml:space="preserve"> and regional Finished Cattle Price Indices (2000 – 2025)</w:t>
      </w:r>
    </w:p>
    <w:p w14:paraId="1641C793" w14:textId="7AA881F8" w:rsidR="0094507A" w:rsidRPr="00220A48" w:rsidRDefault="00220A48" w:rsidP="00220A48">
      <w:pPr>
        <w:pStyle w:val="Grafik"/>
        <w:rPr>
          <w:lang w:val="en-US"/>
        </w:rPr>
      </w:pPr>
      <w:r>
        <w:drawing>
          <wp:inline distT="0" distB="0" distL="0" distR="0" wp14:anchorId="54531CB0" wp14:editId="4BA260D6">
            <wp:extent cx="5943600" cy="3017520"/>
            <wp:effectExtent l="0" t="0" r="0" b="0"/>
            <wp:docPr id="1720082029" name="Chart 1">
              <a:extLst xmlns:a="http://schemas.openxmlformats.org/drawingml/2006/main">
                <a:ext uri="{FF2B5EF4-FFF2-40B4-BE49-F238E27FC236}">
                  <a16:creationId xmlns:a16="http://schemas.microsoft.com/office/drawing/2014/main" id="{49A71EED-2F06-4A94-9574-08043EC0D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E459B4" w14:textId="7DB0439F" w:rsidR="00220A48" w:rsidRDefault="0094507A" w:rsidP="00220A48">
      <w:pPr>
        <w:pStyle w:val="Quelle"/>
        <w:spacing w:before="0" w:line="240" w:lineRule="auto"/>
        <w:ind w:left="709" w:hanging="709"/>
        <w:rPr>
          <w:i/>
          <w:iCs/>
          <w:szCs w:val="24"/>
          <w:lang w:val="en-GB"/>
        </w:rPr>
      </w:pPr>
      <w:r w:rsidRPr="008063C3">
        <w:rPr>
          <w:lang w:val="en-GB"/>
        </w:rPr>
        <w:t>Source:</w:t>
      </w:r>
      <w:r w:rsidRPr="008063C3">
        <w:rPr>
          <w:lang w:val="en-GB"/>
        </w:rPr>
        <w:tab/>
      </w:r>
      <w:proofErr w:type="spellStart"/>
      <w:r w:rsidRPr="00F357D2">
        <w:rPr>
          <w:i/>
          <w:iCs/>
          <w:lang w:val="en-GB"/>
        </w:rPr>
        <w:t>agri</w:t>
      </w:r>
      <w:proofErr w:type="spellEnd"/>
      <w:r w:rsidRPr="00F357D2">
        <w:rPr>
          <w:i/>
          <w:iCs/>
          <w:lang w:val="en-GB"/>
        </w:rPr>
        <w:t xml:space="preserve"> benchmark</w:t>
      </w:r>
      <w:r w:rsidRPr="00CE71D6">
        <w:rPr>
          <w:lang w:val="en-GB"/>
        </w:rPr>
        <w:t xml:space="preserve"> database, 20</w:t>
      </w:r>
      <w:r>
        <w:rPr>
          <w:lang w:val="en-GB"/>
        </w:rPr>
        <w:t>25. Own illustration</w:t>
      </w:r>
      <w:r w:rsidR="006B2A59">
        <w:rPr>
          <w:lang w:val="en-GB"/>
        </w:rPr>
        <w:t xml:space="preserve">. </w:t>
      </w:r>
      <w:r w:rsidRPr="00D352F3">
        <w:rPr>
          <w:i/>
          <w:iCs/>
          <w:szCs w:val="24"/>
          <w:lang w:val="en-GB"/>
        </w:rPr>
        <w:t>Finished cattle prices based on USD / kg carcass weight</w:t>
      </w:r>
      <w:r w:rsidR="00272D88">
        <w:rPr>
          <w:i/>
          <w:iCs/>
          <w:szCs w:val="24"/>
          <w:lang w:val="en-GB"/>
        </w:rPr>
        <w:t>.</w:t>
      </w:r>
    </w:p>
    <w:p w14:paraId="3BB7A360" w14:textId="44444A35" w:rsidR="00220A48" w:rsidRPr="00220A48" w:rsidRDefault="00220A48" w:rsidP="00220A48">
      <w:pPr>
        <w:pStyle w:val="Quelle"/>
        <w:spacing w:before="0" w:line="240" w:lineRule="auto"/>
        <w:ind w:left="709" w:hanging="709"/>
        <w:rPr>
          <w:lang w:val="en-GB"/>
        </w:rPr>
      </w:pPr>
      <w:r w:rsidRPr="00220A48">
        <w:rPr>
          <w:lang w:val="en-GB"/>
        </w:rPr>
        <w:t>*2025 data represents January through June</w:t>
      </w:r>
      <w:r>
        <w:rPr>
          <w:lang w:val="en-GB"/>
        </w:rPr>
        <w:t>.</w:t>
      </w:r>
    </w:p>
    <w:p w14:paraId="1CFAB715" w14:textId="4C6915B9" w:rsidR="00794F3D" w:rsidRPr="00B21F18" w:rsidRDefault="00794F3D" w:rsidP="008D0766">
      <w:pPr>
        <w:pStyle w:val="Zwischenberschrift"/>
        <w:spacing w:before="240"/>
        <w:rPr>
          <w:lang w:val="en-GB"/>
        </w:rPr>
      </w:pPr>
      <w:r w:rsidRPr="00B21F18">
        <w:rPr>
          <w:lang w:val="en-GB"/>
        </w:rPr>
        <w:t>The South America Finished Cattle Producer Price Index</w:t>
      </w:r>
    </w:p>
    <w:p w14:paraId="4895D0E7" w14:textId="0037E19C" w:rsidR="00734EA0" w:rsidRPr="000D25B2" w:rsidRDefault="00734EA0" w:rsidP="008C69F3">
      <w:pPr>
        <w:spacing w:before="120" w:after="120" w:line="276" w:lineRule="auto"/>
        <w:rPr>
          <w:lang w:val="en-US"/>
        </w:rPr>
      </w:pPr>
      <w:r w:rsidRPr="000F0B8D">
        <w:rPr>
          <w:lang w:val="en-GB"/>
        </w:rPr>
        <w:t>The South America Price Index is dominated by Brazilian beef producer prices due to the high production share of Brazil—accounting for 65</w:t>
      </w:r>
      <w:r w:rsidR="00870D14" w:rsidRPr="000F0B8D">
        <w:rPr>
          <w:lang w:val="en-GB"/>
        </w:rPr>
        <w:t xml:space="preserve"> percent</w:t>
      </w:r>
      <w:r w:rsidRPr="000F0B8D">
        <w:rPr>
          <w:lang w:val="en-GB"/>
        </w:rPr>
        <w:t xml:space="preserve"> of South American beef production.</w:t>
      </w:r>
      <w:r w:rsidR="00F2793E" w:rsidRPr="000F0B8D">
        <w:rPr>
          <w:lang w:val="en-GB"/>
        </w:rPr>
        <w:t xml:space="preserve"> </w:t>
      </w:r>
      <w:r w:rsidR="00F2793E" w:rsidRPr="008D0766">
        <w:rPr>
          <w:lang w:val="en-GB"/>
        </w:rPr>
        <w:t xml:space="preserve">Beef prices in Brazil have increased for </w:t>
      </w:r>
      <w:r w:rsidR="006B2A59">
        <w:rPr>
          <w:lang w:val="en-GB"/>
        </w:rPr>
        <w:t>four</w:t>
      </w:r>
      <w:r w:rsidR="00F2793E" w:rsidRPr="008D0766">
        <w:rPr>
          <w:lang w:val="en-GB"/>
        </w:rPr>
        <w:t xml:space="preserve"> consecutive years from 2018 to 2022 before experiencing a decline in 2023 and 2024. </w:t>
      </w:r>
      <w:r w:rsidR="00F2793E" w:rsidRPr="000D25B2">
        <w:rPr>
          <w:lang w:val="en-US"/>
        </w:rPr>
        <w:t>Prices recovered in 2025 to reach a record high</w:t>
      </w:r>
      <w:r w:rsidR="007745A2" w:rsidRPr="000D25B2">
        <w:rPr>
          <w:lang w:val="en-US"/>
        </w:rPr>
        <w:t xml:space="preserve"> (Figure 2)</w:t>
      </w:r>
      <w:r w:rsidR="00F2793E" w:rsidRPr="000D25B2">
        <w:rPr>
          <w:lang w:val="en-US"/>
        </w:rPr>
        <w:t>. This was mainly attributed to the following factors:</w:t>
      </w:r>
    </w:p>
    <w:p w14:paraId="6F1EA3B4" w14:textId="698B99EF" w:rsidR="007745A2" w:rsidRPr="000F0B8D" w:rsidRDefault="007745A2" w:rsidP="00657B6C">
      <w:pPr>
        <w:pStyle w:val="Liste-1"/>
        <w:rPr>
          <w:lang w:val="en-GB"/>
        </w:rPr>
      </w:pPr>
      <w:r w:rsidRPr="000F0B8D">
        <w:rPr>
          <w:lang w:val="en-GB"/>
        </w:rPr>
        <w:t>After two years of intensified cattle slaughter, Brazil’s beef sector entered a herd rebuilding phase in 2020–2021, leading to a 5</w:t>
      </w:r>
      <w:r w:rsidR="00870D14" w:rsidRPr="000F0B8D">
        <w:rPr>
          <w:lang w:val="en-GB"/>
        </w:rPr>
        <w:t xml:space="preserve"> percent</w:t>
      </w:r>
      <w:r w:rsidRPr="000F0B8D">
        <w:rPr>
          <w:lang w:val="en-GB"/>
        </w:rPr>
        <w:t xml:space="preserve"> annual decline in beef production and higher domestic prices.</w:t>
      </w:r>
    </w:p>
    <w:p w14:paraId="2133F776" w14:textId="776A71C3" w:rsidR="007745A2" w:rsidRPr="000F0B8D" w:rsidRDefault="007745A2" w:rsidP="00657B6C">
      <w:pPr>
        <w:pStyle w:val="Liste-1"/>
        <w:rPr>
          <w:lang w:val="en-GB"/>
        </w:rPr>
      </w:pPr>
      <w:r w:rsidRPr="000F0B8D">
        <w:rPr>
          <w:lang w:val="en-GB"/>
        </w:rPr>
        <w:lastRenderedPageBreak/>
        <w:t>In 2022, increased calf supply supported a 7</w:t>
      </w:r>
      <w:r w:rsidR="00870D14" w:rsidRPr="000F0B8D">
        <w:rPr>
          <w:lang w:val="en-GB"/>
        </w:rPr>
        <w:t xml:space="preserve"> percent</w:t>
      </w:r>
      <w:r w:rsidRPr="000F0B8D">
        <w:rPr>
          <w:lang w:val="en-GB"/>
        </w:rPr>
        <w:t xml:space="preserve"> rise in beef production compared with 2021. However, prices continued to climb, driven by strong export demand, particularly from China, which accounted for 62</w:t>
      </w:r>
      <w:r w:rsidR="006B2A59">
        <w:rPr>
          <w:lang w:val="en-GB"/>
        </w:rPr>
        <w:t> </w:t>
      </w:r>
      <w:r w:rsidR="00870D14" w:rsidRPr="000F0B8D">
        <w:rPr>
          <w:lang w:val="en-GB"/>
        </w:rPr>
        <w:t>percent</w:t>
      </w:r>
      <w:r w:rsidRPr="000F0B8D">
        <w:rPr>
          <w:lang w:val="en-GB"/>
        </w:rPr>
        <w:t xml:space="preserve"> of Brazil’s total beef exports. </w:t>
      </w:r>
    </w:p>
    <w:p w14:paraId="41BEF72D" w14:textId="68DA9F19" w:rsidR="007745A2" w:rsidRPr="000F0B8D" w:rsidRDefault="007745A2" w:rsidP="00657B6C">
      <w:pPr>
        <w:pStyle w:val="Liste-1"/>
        <w:rPr>
          <w:lang w:val="en-GB"/>
        </w:rPr>
      </w:pPr>
      <w:r w:rsidRPr="000D25B2">
        <w:rPr>
          <w:lang w:val="en-US"/>
        </w:rPr>
        <w:t xml:space="preserve">In 2023, El Niño conditions in central South America reduced feedlot demand for weaner calves, prompting higher culling of breeding females. </w:t>
      </w:r>
      <w:r w:rsidRPr="000F0B8D">
        <w:rPr>
          <w:lang w:val="en-GB"/>
        </w:rPr>
        <w:t>Female cattle in Brazil represented over 40</w:t>
      </w:r>
      <w:r w:rsidR="00870D14" w:rsidRPr="000F0B8D">
        <w:rPr>
          <w:lang w:val="en-GB"/>
        </w:rPr>
        <w:t xml:space="preserve"> percent</w:t>
      </w:r>
      <w:r w:rsidRPr="000F0B8D">
        <w:rPr>
          <w:lang w:val="en-GB"/>
        </w:rPr>
        <w:t xml:space="preserve"> of total slaughter, raising beef production by 7</w:t>
      </w:r>
      <w:r w:rsidR="00870D14">
        <w:rPr>
          <w:lang w:val="en-GB"/>
        </w:rPr>
        <w:t xml:space="preserve"> percent</w:t>
      </w:r>
      <w:r w:rsidRPr="000F0B8D">
        <w:rPr>
          <w:lang w:val="en-GB"/>
        </w:rPr>
        <w:t xml:space="preserve"> and causing the first decline in the beef prices since 2018.</w:t>
      </w:r>
    </w:p>
    <w:p w14:paraId="0B21BEFA" w14:textId="55A28DD4" w:rsidR="007745A2" w:rsidRPr="008D0766" w:rsidRDefault="007745A2" w:rsidP="00657B6C">
      <w:pPr>
        <w:pStyle w:val="Liste-1"/>
        <w:rPr>
          <w:lang w:val="en-GB"/>
        </w:rPr>
      </w:pPr>
      <w:r w:rsidRPr="008D0766">
        <w:rPr>
          <w:lang w:val="en-GB"/>
        </w:rPr>
        <w:t xml:space="preserve">In 2024, despite growing beef supply, the depreciation of the Brazilian </w:t>
      </w:r>
      <w:r w:rsidR="006B2A59" w:rsidRPr="008D0766">
        <w:rPr>
          <w:lang w:val="en-GB"/>
        </w:rPr>
        <w:t>R</w:t>
      </w:r>
      <w:r w:rsidRPr="008D0766">
        <w:rPr>
          <w:lang w:val="en-GB"/>
        </w:rPr>
        <w:t xml:space="preserve">eal </w:t>
      </w:r>
      <w:r w:rsidR="006B2A59" w:rsidRPr="008D0766">
        <w:rPr>
          <w:lang w:val="en-GB"/>
        </w:rPr>
        <w:t>(</w:t>
      </w:r>
      <w:r w:rsidR="006B2A59">
        <w:rPr>
          <w:lang w:val="en-GB"/>
        </w:rPr>
        <w:t xml:space="preserve">BRL) </w:t>
      </w:r>
      <w:r w:rsidRPr="008D0766">
        <w:rPr>
          <w:lang w:val="en-GB"/>
        </w:rPr>
        <w:t xml:space="preserve">sustained export competitiveness, keeping prices stable in BRL but lower in USD terms. </w:t>
      </w:r>
    </w:p>
    <w:p w14:paraId="4D098A7C" w14:textId="26167BB1" w:rsidR="00765137" w:rsidRPr="000D25B2" w:rsidRDefault="007745A2" w:rsidP="00657B6C">
      <w:pPr>
        <w:pStyle w:val="Liste-1"/>
        <w:rPr>
          <w:lang w:val="en-US"/>
        </w:rPr>
      </w:pPr>
      <w:r w:rsidRPr="000F0B8D">
        <w:rPr>
          <w:lang w:val="en-GB"/>
        </w:rPr>
        <w:t>By 2025, beef prices in Brazil rose by 17</w:t>
      </w:r>
      <w:r w:rsidR="00870D14" w:rsidRPr="000F0B8D">
        <w:rPr>
          <w:lang w:val="en-GB"/>
        </w:rPr>
        <w:t xml:space="preserve"> percent</w:t>
      </w:r>
      <w:r w:rsidRPr="000F0B8D">
        <w:rPr>
          <w:lang w:val="en-GB"/>
        </w:rPr>
        <w:t xml:space="preserve">, driven by a new phase in the cattle cycle, strong export demand, and continued currency devaluation. </w:t>
      </w:r>
      <w:r w:rsidRPr="000D25B2">
        <w:rPr>
          <w:lang w:val="en-US"/>
        </w:rPr>
        <w:t xml:space="preserve">Reduced replacement stock from earlier high female slaughter rates increased calf prices and limited production, while </w:t>
      </w:r>
      <w:r w:rsidR="00794F3D" w:rsidRPr="000D25B2">
        <w:rPr>
          <w:lang w:val="en-US"/>
        </w:rPr>
        <w:t xml:space="preserve">shortage in global beef supply and robust </w:t>
      </w:r>
      <w:r w:rsidRPr="000D25B2">
        <w:rPr>
          <w:lang w:val="en-US"/>
        </w:rPr>
        <w:t>exports remained the main price driver</w:t>
      </w:r>
      <w:r w:rsidR="00794F3D" w:rsidRPr="000D25B2">
        <w:rPr>
          <w:lang w:val="en-US"/>
        </w:rPr>
        <w:t>s</w:t>
      </w:r>
      <w:r w:rsidRPr="000D25B2">
        <w:rPr>
          <w:lang w:val="en-US"/>
        </w:rPr>
        <w:t>.</w:t>
      </w:r>
    </w:p>
    <w:p w14:paraId="2C1EB2AC" w14:textId="68A28ED5" w:rsidR="00765137" w:rsidRPr="008C69F3" w:rsidRDefault="00765137" w:rsidP="003A211C">
      <w:pPr>
        <w:pStyle w:val="Zwischenberschrift"/>
        <w:rPr>
          <w:lang w:val="en-GB"/>
        </w:rPr>
      </w:pPr>
      <w:r w:rsidRPr="008C69F3">
        <w:rPr>
          <w:lang w:val="en-GB"/>
        </w:rPr>
        <w:t>China Finished Cattle Producer Price Index</w:t>
      </w:r>
    </w:p>
    <w:p w14:paraId="2D2FFAC0" w14:textId="6930A573" w:rsidR="0022049C" w:rsidRPr="000D25B2" w:rsidRDefault="0022049C" w:rsidP="00657B6C">
      <w:pPr>
        <w:pStyle w:val="Liste-1"/>
        <w:rPr>
          <w:lang w:val="en-US"/>
        </w:rPr>
      </w:pPr>
      <w:r w:rsidRPr="000D25B2">
        <w:rPr>
          <w:lang w:val="en-US"/>
        </w:rPr>
        <w:t>China’s Finished Cattle Producer Price Index has declined steadily since 2022 (Figure 2). The downturn reflects the cumulative impact of post-COVID-19 economic challenges, recovery of the domestic pig industry, increased pork availability, expanding beef imports, particularly from South America and growing domestic beef production.</w:t>
      </w:r>
      <w:r w:rsidR="00765137" w:rsidRPr="000D25B2">
        <w:rPr>
          <w:lang w:val="en-US"/>
        </w:rPr>
        <w:t xml:space="preserve"> </w:t>
      </w:r>
    </w:p>
    <w:p w14:paraId="6F2BC652" w14:textId="56563D2E" w:rsidR="00765137" w:rsidRPr="000D25B2" w:rsidRDefault="0022049C" w:rsidP="00657B6C">
      <w:pPr>
        <w:pStyle w:val="Liste-1"/>
        <w:rPr>
          <w:lang w:val="en-US"/>
        </w:rPr>
      </w:pPr>
      <w:r w:rsidRPr="000D25B2">
        <w:rPr>
          <w:lang w:val="en-US"/>
        </w:rPr>
        <w:t xml:space="preserve">By </w:t>
      </w:r>
      <w:bookmarkStart w:id="4" w:name="_Hlk211076638"/>
      <w:r w:rsidRPr="000D25B2">
        <w:rPr>
          <w:lang w:val="en-US"/>
        </w:rPr>
        <w:t>2024–2025</w:t>
      </w:r>
      <w:bookmarkEnd w:id="4"/>
      <w:r w:rsidRPr="000D25B2">
        <w:rPr>
          <w:lang w:val="en-US"/>
        </w:rPr>
        <w:t xml:space="preserve">, China faced a surplus in animal protein supply due to record poultry and beef production in addition to well recovered pork sector. </w:t>
      </w:r>
      <w:r w:rsidRPr="000F0B8D">
        <w:rPr>
          <w:lang w:val="en-GB"/>
        </w:rPr>
        <w:t>Beef production rose by 3</w:t>
      </w:r>
      <w:r w:rsidR="00870D14" w:rsidRPr="000F0B8D">
        <w:rPr>
          <w:lang w:val="en-GB"/>
        </w:rPr>
        <w:t xml:space="preserve"> percent</w:t>
      </w:r>
      <w:r w:rsidRPr="000F0B8D">
        <w:rPr>
          <w:lang w:val="en-GB"/>
        </w:rPr>
        <w:t xml:space="preserve"> year-on-year and 12</w:t>
      </w:r>
      <w:r w:rsidR="00870D14">
        <w:rPr>
          <w:lang w:val="en-GB"/>
        </w:rPr>
        <w:t xml:space="preserve"> percent</w:t>
      </w:r>
      <w:r w:rsidRPr="000F0B8D">
        <w:rPr>
          <w:lang w:val="en-GB"/>
        </w:rPr>
        <w:t xml:space="preserve"> above the five-year average, driven by dairy sector contraction, low milk prices, and increased culling of dairy cows. Concurrently, beef imports reached 2.8 million tonnes in 2024, 25</w:t>
      </w:r>
      <w:r w:rsidR="00870D14" w:rsidRPr="000F0B8D">
        <w:rPr>
          <w:lang w:val="en-GB"/>
        </w:rPr>
        <w:t xml:space="preserve"> percent</w:t>
      </w:r>
      <w:r w:rsidRPr="000F0B8D">
        <w:rPr>
          <w:lang w:val="en-GB"/>
        </w:rPr>
        <w:t xml:space="preserve"> above the five-year average. </w:t>
      </w:r>
      <w:r w:rsidRPr="000D25B2">
        <w:rPr>
          <w:lang w:val="en-US"/>
        </w:rPr>
        <w:t xml:space="preserve">These dynamics collectively reduced the price index to 95 </w:t>
      </w:r>
      <w:proofErr w:type="gramStart"/>
      <w:r w:rsidRPr="000D25B2">
        <w:rPr>
          <w:lang w:val="en-US"/>
        </w:rPr>
        <w:t>point</w:t>
      </w:r>
      <w:proofErr w:type="gramEnd"/>
      <w:r w:rsidRPr="000D25B2">
        <w:rPr>
          <w:lang w:val="en-US"/>
        </w:rPr>
        <w:t>, the lowest level since 2017.</w:t>
      </w:r>
    </w:p>
    <w:bookmarkEnd w:id="1"/>
    <w:p w14:paraId="1A4E97C7" w14:textId="2B36BF8B" w:rsidR="00683E3E" w:rsidRPr="00683E3E" w:rsidRDefault="00683E3E" w:rsidP="008C69F3">
      <w:pPr>
        <w:pStyle w:val="berschrift2"/>
        <w:spacing w:before="360"/>
        <w:ind w:left="706" w:hanging="706"/>
        <w:jc w:val="both"/>
        <w:rPr>
          <w:lang w:val="en-GB"/>
        </w:rPr>
      </w:pPr>
      <w:r>
        <w:rPr>
          <w:lang w:val="en-GB"/>
        </w:rPr>
        <w:tab/>
      </w:r>
      <w:r w:rsidRPr="00683E3E">
        <w:rPr>
          <w:lang w:val="en-GB"/>
        </w:rPr>
        <w:t xml:space="preserve">The Weaner Cattle </w:t>
      </w:r>
      <w:r w:rsidR="0065482D">
        <w:rPr>
          <w:lang w:val="en-GB"/>
        </w:rPr>
        <w:t xml:space="preserve">Producer </w:t>
      </w:r>
      <w:r w:rsidRPr="00683E3E">
        <w:rPr>
          <w:lang w:val="en-GB"/>
        </w:rPr>
        <w:t>Price Index</w:t>
      </w:r>
    </w:p>
    <w:p w14:paraId="1E6D2016" w14:textId="55BBFEDA" w:rsidR="00B14B72" w:rsidRPr="000D25B2" w:rsidRDefault="00473AE8" w:rsidP="00BA0C93">
      <w:pPr>
        <w:spacing w:before="120" w:after="120" w:line="276" w:lineRule="auto"/>
        <w:rPr>
          <w:lang w:val="en-US"/>
        </w:rPr>
      </w:pPr>
      <w:r w:rsidRPr="000D25B2">
        <w:rPr>
          <w:lang w:val="en-US"/>
        </w:rPr>
        <w:t xml:space="preserve">The </w:t>
      </w:r>
      <w:proofErr w:type="spellStart"/>
      <w:r w:rsidRPr="000D25B2">
        <w:rPr>
          <w:i/>
          <w:iCs/>
          <w:lang w:val="en-US"/>
        </w:rPr>
        <w:t>agri</w:t>
      </w:r>
      <w:proofErr w:type="spellEnd"/>
      <w:r w:rsidRPr="000D25B2">
        <w:rPr>
          <w:i/>
          <w:iCs/>
          <w:lang w:val="en-US"/>
        </w:rPr>
        <w:t xml:space="preserve"> benchmark</w:t>
      </w:r>
      <w:r w:rsidRPr="000D25B2">
        <w:rPr>
          <w:lang w:val="en-US"/>
        </w:rPr>
        <w:t xml:space="preserve"> </w:t>
      </w:r>
      <w:r w:rsidR="005E4675" w:rsidRPr="000D25B2">
        <w:rPr>
          <w:lang w:val="en-US"/>
        </w:rPr>
        <w:t xml:space="preserve">global </w:t>
      </w:r>
      <w:r w:rsidR="00234BE0" w:rsidRPr="000D25B2">
        <w:rPr>
          <w:lang w:val="en-US"/>
        </w:rPr>
        <w:t xml:space="preserve">Weaner Cattle </w:t>
      </w:r>
      <w:r w:rsidR="00912687" w:rsidRPr="000D25B2">
        <w:rPr>
          <w:lang w:val="en-US"/>
        </w:rPr>
        <w:t xml:space="preserve">Producer </w:t>
      </w:r>
      <w:r w:rsidR="00234BE0" w:rsidRPr="000D25B2">
        <w:rPr>
          <w:lang w:val="en-US"/>
        </w:rPr>
        <w:t>P</w:t>
      </w:r>
      <w:r w:rsidRPr="000D25B2">
        <w:rPr>
          <w:lang w:val="en-US"/>
        </w:rPr>
        <w:t>rice Index</w:t>
      </w:r>
      <w:r w:rsidR="00912687" w:rsidRPr="000D25B2">
        <w:rPr>
          <w:lang w:val="en-US"/>
        </w:rPr>
        <w:t xml:space="preserve"> </w:t>
      </w:r>
      <w:r w:rsidR="004F224A" w:rsidRPr="000D25B2">
        <w:rPr>
          <w:lang w:val="en-US"/>
        </w:rPr>
        <w:t xml:space="preserve">measures weaner calf prices as the final output sold by cow-calf farms to pre-finishing operations (backgrounding or stocker) or directly to cattle finishing operations. </w:t>
      </w:r>
      <w:r w:rsidR="00BA0C93" w:rsidRPr="000D25B2">
        <w:rPr>
          <w:lang w:val="en-US"/>
        </w:rPr>
        <w:t>The index is calculated</w:t>
      </w:r>
      <w:r w:rsidRPr="000D25B2">
        <w:rPr>
          <w:lang w:val="en-US"/>
        </w:rPr>
        <w:t xml:space="preserve"> based on weaner</w:t>
      </w:r>
      <w:r w:rsidR="0074613D" w:rsidRPr="000D25B2">
        <w:rPr>
          <w:lang w:val="en-US"/>
        </w:rPr>
        <w:t xml:space="preserve"> cal</w:t>
      </w:r>
      <w:r w:rsidR="00E04547" w:rsidRPr="000D25B2">
        <w:rPr>
          <w:lang w:val="en-US"/>
        </w:rPr>
        <w:t>f</w:t>
      </w:r>
      <w:r w:rsidRPr="000D25B2">
        <w:rPr>
          <w:lang w:val="en-US"/>
        </w:rPr>
        <w:t xml:space="preserve"> prices weighted by weaner production share (live weight base) in the network countries.</w:t>
      </w:r>
    </w:p>
    <w:p w14:paraId="17187F6C" w14:textId="10123E36" w:rsidR="0017376D" w:rsidRPr="008D0766" w:rsidRDefault="00473AE8" w:rsidP="00363264">
      <w:pPr>
        <w:spacing w:before="120" w:after="120" w:line="276" w:lineRule="auto"/>
        <w:rPr>
          <w:lang w:val="en-GB"/>
        </w:rPr>
      </w:pPr>
      <w:r w:rsidRPr="000D25B2">
        <w:rPr>
          <w:lang w:val="en-US"/>
        </w:rPr>
        <w:t xml:space="preserve">The </w:t>
      </w:r>
      <w:r w:rsidR="0013244B" w:rsidRPr="000D25B2">
        <w:rPr>
          <w:lang w:val="en-US"/>
        </w:rPr>
        <w:t>I</w:t>
      </w:r>
      <w:r w:rsidRPr="000D25B2">
        <w:rPr>
          <w:lang w:val="en-US"/>
        </w:rPr>
        <w:t>ndex is of importance to</w:t>
      </w:r>
      <w:r w:rsidR="002B3D28" w:rsidRPr="000D25B2">
        <w:rPr>
          <w:lang w:val="en-US"/>
        </w:rPr>
        <w:t xml:space="preserve"> both</w:t>
      </w:r>
      <w:r w:rsidRPr="000D25B2">
        <w:rPr>
          <w:lang w:val="en-US"/>
        </w:rPr>
        <w:t xml:space="preserve"> cow-calf farmers (output prices) </w:t>
      </w:r>
      <w:r w:rsidR="002B3D28" w:rsidRPr="000D25B2">
        <w:rPr>
          <w:lang w:val="en-US"/>
        </w:rPr>
        <w:t xml:space="preserve">and </w:t>
      </w:r>
      <w:r w:rsidRPr="000D25B2">
        <w:rPr>
          <w:lang w:val="en-US"/>
        </w:rPr>
        <w:t>beef producers (input prices).</w:t>
      </w:r>
      <w:r w:rsidR="00E41982" w:rsidRPr="000D25B2">
        <w:rPr>
          <w:lang w:val="en-US"/>
        </w:rPr>
        <w:t xml:space="preserve"> </w:t>
      </w:r>
      <w:r w:rsidR="001770C1" w:rsidRPr="000D25B2">
        <w:rPr>
          <w:lang w:val="en-US"/>
        </w:rPr>
        <w:t xml:space="preserve">Thus, it </w:t>
      </w:r>
      <w:r w:rsidR="003C5B25" w:rsidRPr="000D25B2">
        <w:rPr>
          <w:lang w:val="en-US"/>
        </w:rPr>
        <w:t>serve</w:t>
      </w:r>
      <w:r w:rsidR="00BE0C2D" w:rsidRPr="000D25B2">
        <w:rPr>
          <w:lang w:val="en-US"/>
        </w:rPr>
        <w:t>s</w:t>
      </w:r>
      <w:r w:rsidR="003C5B25" w:rsidRPr="000D25B2">
        <w:rPr>
          <w:lang w:val="en-US"/>
        </w:rPr>
        <w:t xml:space="preserve"> to monitor and explain changes in value added </w:t>
      </w:r>
      <w:r w:rsidR="009F6F6D" w:rsidRPr="000D25B2">
        <w:rPr>
          <w:lang w:val="en-US"/>
        </w:rPr>
        <w:t>and</w:t>
      </w:r>
      <w:r w:rsidR="001770C1" w:rsidRPr="000D25B2">
        <w:rPr>
          <w:lang w:val="en-US"/>
        </w:rPr>
        <w:t xml:space="preserve"> net income movements </w:t>
      </w:r>
      <w:r w:rsidR="00F64F5C" w:rsidRPr="000D25B2">
        <w:rPr>
          <w:lang w:val="en-US"/>
        </w:rPr>
        <w:t>for</w:t>
      </w:r>
      <w:r w:rsidR="001770C1" w:rsidRPr="000D25B2">
        <w:rPr>
          <w:lang w:val="en-US"/>
        </w:rPr>
        <w:t xml:space="preserve"> finished cattle farms</w:t>
      </w:r>
      <w:r w:rsidR="00A658A7" w:rsidRPr="000D25B2">
        <w:rPr>
          <w:lang w:val="en-US"/>
        </w:rPr>
        <w:t xml:space="preserve"> over time</w:t>
      </w:r>
      <w:r w:rsidR="001770C1" w:rsidRPr="000D25B2">
        <w:rPr>
          <w:lang w:val="en-US"/>
        </w:rPr>
        <w:t xml:space="preserve">. </w:t>
      </w:r>
      <w:r w:rsidR="00C7308A" w:rsidRPr="008D0766">
        <w:rPr>
          <w:lang w:val="en-GB"/>
        </w:rPr>
        <w:t xml:space="preserve">This is of major importance to feedlot and pasture production systems in which weaner purchase costs constitute </w:t>
      </w:r>
      <w:r w:rsidR="001D0C22" w:rsidRPr="008D0766">
        <w:rPr>
          <w:lang w:val="en-GB"/>
        </w:rPr>
        <w:t xml:space="preserve">a </w:t>
      </w:r>
      <w:r w:rsidR="001D0C22">
        <w:rPr>
          <w:lang w:val="en-GB"/>
        </w:rPr>
        <w:t xml:space="preserve">significant </w:t>
      </w:r>
      <w:r w:rsidR="00C7308A" w:rsidRPr="008D0766">
        <w:rPr>
          <w:lang w:val="en-GB"/>
        </w:rPr>
        <w:t xml:space="preserve">proportion of total finished cattle production costs. </w:t>
      </w:r>
    </w:p>
    <w:p w14:paraId="11D32285" w14:textId="61CC008F" w:rsidR="005C234A" w:rsidRPr="000D25B2" w:rsidRDefault="008E1E6D" w:rsidP="005C234A">
      <w:pPr>
        <w:spacing w:before="120" w:after="120" w:line="276" w:lineRule="auto"/>
        <w:rPr>
          <w:lang w:val="en-US"/>
        </w:rPr>
      </w:pPr>
      <w:r w:rsidRPr="000D25B2">
        <w:rPr>
          <w:lang w:val="en-US"/>
        </w:rPr>
        <w:t>Both indices</w:t>
      </w:r>
      <w:r w:rsidR="00473AE8" w:rsidRPr="000D25B2">
        <w:rPr>
          <w:lang w:val="en-US"/>
        </w:rPr>
        <w:t xml:space="preserve"> </w:t>
      </w:r>
      <w:r w:rsidR="00BA0C93" w:rsidRPr="000D25B2">
        <w:rPr>
          <w:lang w:val="en-US"/>
        </w:rPr>
        <w:t xml:space="preserve">have historically shown similar trends </w:t>
      </w:r>
      <w:r w:rsidR="001770C1" w:rsidRPr="000D25B2">
        <w:rPr>
          <w:lang w:val="en-US"/>
        </w:rPr>
        <w:t xml:space="preserve">(Figure </w:t>
      </w:r>
      <w:r w:rsidRPr="000D25B2">
        <w:rPr>
          <w:lang w:val="en-US"/>
        </w:rPr>
        <w:t>3</w:t>
      </w:r>
      <w:r w:rsidR="001770C1" w:rsidRPr="000D25B2">
        <w:rPr>
          <w:lang w:val="en-US"/>
        </w:rPr>
        <w:t>).</w:t>
      </w:r>
      <w:r w:rsidR="00473AE8" w:rsidRPr="000D25B2">
        <w:rPr>
          <w:lang w:val="en-US"/>
        </w:rPr>
        <w:t xml:space="preserve"> However, </w:t>
      </w:r>
      <w:r w:rsidR="00A07853" w:rsidRPr="000D25B2">
        <w:rPr>
          <w:lang w:val="en-US"/>
        </w:rPr>
        <w:t>b</w:t>
      </w:r>
      <w:r w:rsidR="00BA0C93" w:rsidRPr="000D25B2">
        <w:rPr>
          <w:lang w:val="en-US"/>
        </w:rPr>
        <w:t>etween</w:t>
      </w:r>
      <w:r w:rsidR="00A07853" w:rsidRPr="000D25B2">
        <w:rPr>
          <w:lang w:val="en-US"/>
        </w:rPr>
        <w:t xml:space="preserve"> 20</w:t>
      </w:r>
      <w:r w:rsidR="00BA0C93" w:rsidRPr="000D25B2">
        <w:rPr>
          <w:lang w:val="en-US"/>
        </w:rPr>
        <w:t>19</w:t>
      </w:r>
      <w:r w:rsidR="00A07853" w:rsidRPr="000D25B2">
        <w:rPr>
          <w:lang w:val="en-US"/>
        </w:rPr>
        <w:t xml:space="preserve"> </w:t>
      </w:r>
      <w:r w:rsidR="00BA0C93" w:rsidRPr="000D25B2">
        <w:rPr>
          <w:lang w:val="en-US"/>
        </w:rPr>
        <w:t>and</w:t>
      </w:r>
      <w:r w:rsidR="00A07853" w:rsidRPr="000D25B2">
        <w:rPr>
          <w:lang w:val="en-US"/>
        </w:rPr>
        <w:t xml:space="preserve"> 2021, </w:t>
      </w:r>
      <w:r w:rsidR="005C234A" w:rsidRPr="000D25B2">
        <w:rPr>
          <w:lang w:val="en-US"/>
        </w:rPr>
        <w:t>strong global beef demand and limited weaner supply during herd rebuilding in Australia and Brazil led to divergent growth</w:t>
      </w:r>
      <w:r w:rsidR="001770C1" w:rsidRPr="000D25B2">
        <w:rPr>
          <w:lang w:val="en-US"/>
        </w:rPr>
        <w:t xml:space="preserve">. </w:t>
      </w:r>
      <w:r w:rsidR="005C234A" w:rsidRPr="000F0B8D">
        <w:rPr>
          <w:lang w:val="en-GB"/>
        </w:rPr>
        <w:t>The Finished Cattle Index rose by 22</w:t>
      </w:r>
      <w:r w:rsidR="00870D14" w:rsidRPr="000F0B8D">
        <w:rPr>
          <w:lang w:val="en-GB"/>
        </w:rPr>
        <w:t xml:space="preserve"> percent</w:t>
      </w:r>
      <w:r w:rsidR="005C234A" w:rsidRPr="000F0B8D">
        <w:rPr>
          <w:lang w:val="en-GB"/>
        </w:rPr>
        <w:t>, while the Weaner Cattle Index increased by 40</w:t>
      </w:r>
      <w:r w:rsidR="00870D14">
        <w:rPr>
          <w:lang w:val="en-GB"/>
        </w:rPr>
        <w:t xml:space="preserve"> percent</w:t>
      </w:r>
      <w:r w:rsidR="005C234A" w:rsidRPr="000F0B8D">
        <w:rPr>
          <w:lang w:val="en-GB"/>
        </w:rPr>
        <w:t xml:space="preserve">. </w:t>
      </w:r>
      <w:r w:rsidR="005C234A" w:rsidRPr="000D25B2">
        <w:rPr>
          <w:lang w:val="en-US"/>
        </w:rPr>
        <w:t>The moderation in Weaner Index growth in 2022 reflected weaker U.S. demand under drought conditions and herd recovery in Australia. The continued restocking declines in South America and Australia in 2023–2024 caused the first Weaner Index drop since 2018.</w:t>
      </w:r>
    </w:p>
    <w:p w14:paraId="23EB5BCE" w14:textId="3D8B4E84" w:rsidR="00473AE8" w:rsidRPr="000D25B2" w:rsidRDefault="005C234A" w:rsidP="005C234A">
      <w:pPr>
        <w:spacing w:before="120" w:after="120" w:line="276" w:lineRule="auto"/>
        <w:rPr>
          <w:lang w:val="en-US"/>
        </w:rPr>
      </w:pPr>
      <w:r w:rsidRPr="000D25B2">
        <w:rPr>
          <w:lang w:val="en-US"/>
        </w:rPr>
        <w:t>By 2025, the index rebounded from 113 to 125 point, driven by renewed weaner demand amid high global beef prices and tight supply, particularly given low weaner availability in the EU and the onset of herd rebuilding in the US after five years of destocking.</w:t>
      </w:r>
    </w:p>
    <w:p w14:paraId="64FAD27A" w14:textId="2469BB80" w:rsidR="004C3696" w:rsidRPr="000D25B2" w:rsidRDefault="00473AE8" w:rsidP="008217C0">
      <w:pPr>
        <w:pStyle w:val="Abbildung"/>
        <w:rPr>
          <w:b w:val="0"/>
          <w:lang w:val="en-US"/>
        </w:rPr>
      </w:pPr>
      <w:r w:rsidRPr="000D25B2">
        <w:rPr>
          <w:lang w:val="en-US"/>
        </w:rPr>
        <w:lastRenderedPageBreak/>
        <w:t xml:space="preserve">Figure </w:t>
      </w:r>
      <w:r w:rsidR="00D7405A" w:rsidRPr="000D25B2">
        <w:rPr>
          <w:lang w:val="en-US"/>
        </w:rPr>
        <w:t>3</w:t>
      </w:r>
      <w:r w:rsidRPr="000D25B2">
        <w:rPr>
          <w:lang w:val="en-US"/>
        </w:rPr>
        <w:t>:</w:t>
      </w:r>
      <w:r w:rsidRPr="000D25B2">
        <w:rPr>
          <w:lang w:val="en-US"/>
        </w:rPr>
        <w:tab/>
      </w:r>
      <w:r w:rsidRPr="000D25B2">
        <w:rPr>
          <w:b w:val="0"/>
          <w:lang w:val="en-US"/>
        </w:rPr>
        <w:t xml:space="preserve">The </w:t>
      </w:r>
      <w:proofErr w:type="spellStart"/>
      <w:r w:rsidRPr="000D25B2">
        <w:rPr>
          <w:b w:val="0"/>
          <w:i/>
          <w:iCs/>
          <w:lang w:val="en-US"/>
        </w:rPr>
        <w:t>agri</w:t>
      </w:r>
      <w:proofErr w:type="spellEnd"/>
      <w:r w:rsidRPr="000D25B2">
        <w:rPr>
          <w:b w:val="0"/>
          <w:i/>
          <w:iCs/>
          <w:lang w:val="en-US"/>
        </w:rPr>
        <w:t xml:space="preserve"> benchmark</w:t>
      </w:r>
      <w:r w:rsidRPr="000D25B2">
        <w:rPr>
          <w:b w:val="0"/>
          <w:lang w:val="en-US"/>
        </w:rPr>
        <w:t xml:space="preserve"> Weaner Cattle </w:t>
      </w:r>
      <w:r w:rsidR="00760EFF" w:rsidRPr="000D25B2">
        <w:rPr>
          <w:b w:val="0"/>
          <w:lang w:val="en-US"/>
        </w:rPr>
        <w:t xml:space="preserve">and Finished Cattle Producer </w:t>
      </w:r>
      <w:r w:rsidRPr="000D25B2">
        <w:rPr>
          <w:b w:val="0"/>
          <w:lang w:val="en-US"/>
        </w:rPr>
        <w:t>Price Ind</w:t>
      </w:r>
      <w:r w:rsidR="00760EFF" w:rsidRPr="000D25B2">
        <w:rPr>
          <w:b w:val="0"/>
          <w:lang w:val="en-US"/>
        </w:rPr>
        <w:t>ices</w:t>
      </w:r>
    </w:p>
    <w:p w14:paraId="2A646EA6" w14:textId="20CEBDE9" w:rsidR="008E1E6D" w:rsidRPr="008E1E6D" w:rsidRDefault="008C69F3" w:rsidP="00657B6C">
      <w:pPr>
        <w:pStyle w:val="Grafik"/>
        <w:rPr>
          <w:rtl/>
          <w:lang w:bidi="ar-QA"/>
        </w:rPr>
      </w:pPr>
      <w:r>
        <w:drawing>
          <wp:inline distT="0" distB="0" distL="0" distR="0" wp14:anchorId="365849E5" wp14:editId="0ECA7E8A">
            <wp:extent cx="5943600" cy="3017520"/>
            <wp:effectExtent l="0" t="0" r="0" b="0"/>
            <wp:docPr id="1770662257" name="Chart 1">
              <a:extLst xmlns:a="http://schemas.openxmlformats.org/drawingml/2006/main">
                <a:ext uri="{FF2B5EF4-FFF2-40B4-BE49-F238E27FC236}">
                  <a16:creationId xmlns:a16="http://schemas.microsoft.com/office/drawing/2014/main" id="{586E2797-9683-4BF4-901D-97E16999C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113694" w14:textId="00086FED" w:rsidR="0039162F" w:rsidRDefault="00525AE6" w:rsidP="00272D88">
      <w:pPr>
        <w:pStyle w:val="Quelle"/>
        <w:spacing w:before="0" w:line="240" w:lineRule="auto"/>
        <w:ind w:left="709" w:hanging="709"/>
        <w:rPr>
          <w:i/>
          <w:iCs/>
          <w:szCs w:val="24"/>
          <w:lang w:val="en-GB"/>
        </w:rPr>
      </w:pPr>
      <w:r w:rsidRPr="008063C3">
        <w:rPr>
          <w:lang w:val="en-GB"/>
        </w:rPr>
        <w:t>Source:</w:t>
      </w:r>
      <w:r w:rsidRPr="008063C3">
        <w:rPr>
          <w:lang w:val="en-GB"/>
        </w:rPr>
        <w:tab/>
      </w:r>
      <w:proofErr w:type="spellStart"/>
      <w:r w:rsidRPr="00CB7A9C">
        <w:rPr>
          <w:i/>
          <w:iCs/>
          <w:lang w:val="en-GB"/>
        </w:rPr>
        <w:t>agri</w:t>
      </w:r>
      <w:proofErr w:type="spellEnd"/>
      <w:r w:rsidRPr="00CB7A9C">
        <w:rPr>
          <w:i/>
          <w:iCs/>
          <w:lang w:val="en-GB"/>
        </w:rPr>
        <w:t xml:space="preserve"> benchmark</w:t>
      </w:r>
      <w:r w:rsidRPr="00CE71D6">
        <w:rPr>
          <w:lang w:val="en-GB"/>
        </w:rPr>
        <w:t xml:space="preserve"> database, </w:t>
      </w:r>
      <w:r w:rsidRPr="000D25B2">
        <w:rPr>
          <w:lang w:val="en-US"/>
        </w:rPr>
        <w:t>202</w:t>
      </w:r>
      <w:r w:rsidR="008C69F3" w:rsidRPr="00272D88">
        <w:rPr>
          <w:rFonts w:hint="cs"/>
          <w:szCs w:val="18"/>
          <w:rtl/>
        </w:rPr>
        <w:t>5</w:t>
      </w:r>
      <w:r>
        <w:rPr>
          <w:lang w:val="en-GB"/>
        </w:rPr>
        <w:t>. Own illustration</w:t>
      </w:r>
      <w:r w:rsidR="001D0C22">
        <w:rPr>
          <w:lang w:val="en-GB"/>
        </w:rPr>
        <w:t xml:space="preserve">. </w:t>
      </w:r>
      <w:r w:rsidR="0039162F">
        <w:rPr>
          <w:i/>
          <w:iCs/>
          <w:szCs w:val="24"/>
          <w:lang w:val="en-GB"/>
        </w:rPr>
        <w:t>Weaner</w:t>
      </w:r>
      <w:r w:rsidR="0039162F" w:rsidRPr="00D352F3">
        <w:rPr>
          <w:i/>
          <w:iCs/>
          <w:szCs w:val="24"/>
          <w:lang w:val="en-GB"/>
        </w:rPr>
        <w:t xml:space="preserve"> cattle prices based on USD / kg </w:t>
      </w:r>
      <w:r w:rsidR="0039162F">
        <w:rPr>
          <w:i/>
          <w:iCs/>
          <w:szCs w:val="24"/>
          <w:lang w:val="en-GB"/>
        </w:rPr>
        <w:t>live</w:t>
      </w:r>
      <w:r w:rsidR="0039162F" w:rsidRPr="00D352F3">
        <w:rPr>
          <w:i/>
          <w:iCs/>
          <w:szCs w:val="24"/>
          <w:lang w:val="en-GB"/>
        </w:rPr>
        <w:t xml:space="preserve"> weight</w:t>
      </w:r>
      <w:r w:rsidR="00272D88">
        <w:rPr>
          <w:i/>
          <w:iCs/>
          <w:szCs w:val="24"/>
          <w:lang w:val="en-GB"/>
        </w:rPr>
        <w:t>.</w:t>
      </w:r>
    </w:p>
    <w:p w14:paraId="0005030D" w14:textId="5D3A36C0" w:rsidR="00C55639" w:rsidRPr="00C55639" w:rsidRDefault="00C55639" w:rsidP="00C55639">
      <w:pPr>
        <w:pStyle w:val="Quelle"/>
        <w:spacing w:before="0" w:line="240" w:lineRule="auto"/>
        <w:ind w:left="709" w:hanging="709"/>
        <w:rPr>
          <w:lang w:val="en-GB"/>
        </w:rPr>
      </w:pPr>
      <w:r w:rsidRPr="00220A48">
        <w:rPr>
          <w:lang w:val="en-GB"/>
        </w:rPr>
        <w:t>*2025 data represents January through June</w:t>
      </w:r>
      <w:r>
        <w:rPr>
          <w:lang w:val="en-GB"/>
        </w:rPr>
        <w:t>.</w:t>
      </w:r>
    </w:p>
    <w:p w14:paraId="3E2FDAB0" w14:textId="2A924B69" w:rsidR="00683E3E" w:rsidRPr="00683E3E" w:rsidRDefault="00683E3E" w:rsidP="008217C0">
      <w:pPr>
        <w:pStyle w:val="berschrift2"/>
        <w:spacing w:before="240"/>
        <w:jc w:val="both"/>
        <w:rPr>
          <w:lang w:val="en-GB"/>
        </w:rPr>
      </w:pPr>
      <w:r>
        <w:rPr>
          <w:lang w:val="en-GB"/>
        </w:rPr>
        <w:tab/>
      </w:r>
      <w:r w:rsidRPr="00683E3E">
        <w:rPr>
          <w:lang w:val="en-GB"/>
        </w:rPr>
        <w:t xml:space="preserve">The Lambs </w:t>
      </w:r>
      <w:r w:rsidR="00E341F0">
        <w:rPr>
          <w:lang w:val="en-GB"/>
        </w:rPr>
        <w:t xml:space="preserve">Producer </w:t>
      </w:r>
      <w:r w:rsidRPr="00683E3E">
        <w:rPr>
          <w:lang w:val="en-GB"/>
        </w:rPr>
        <w:t>Price Index</w:t>
      </w:r>
    </w:p>
    <w:p w14:paraId="4CE56B2D" w14:textId="6A3E4D1B" w:rsidR="004D4774" w:rsidRPr="000F0B8D" w:rsidRDefault="004D4774" w:rsidP="00EE4C5B">
      <w:pPr>
        <w:spacing w:before="120" w:after="120" w:line="276" w:lineRule="auto"/>
        <w:rPr>
          <w:lang w:val="en-GB"/>
        </w:rPr>
      </w:pPr>
      <w:r w:rsidRPr="000F0B8D">
        <w:rPr>
          <w:lang w:val="en-GB"/>
        </w:rPr>
        <w:t xml:space="preserve">The </w:t>
      </w:r>
      <w:proofErr w:type="spellStart"/>
      <w:r w:rsidRPr="000F0B8D">
        <w:rPr>
          <w:i/>
          <w:iCs/>
          <w:lang w:val="en-GB"/>
        </w:rPr>
        <w:t>agri</w:t>
      </w:r>
      <w:proofErr w:type="spellEnd"/>
      <w:r w:rsidRPr="000F0B8D">
        <w:rPr>
          <w:i/>
          <w:iCs/>
          <w:lang w:val="en-GB"/>
        </w:rPr>
        <w:t xml:space="preserve"> benchmark</w:t>
      </w:r>
      <w:r w:rsidRPr="000F0B8D">
        <w:rPr>
          <w:lang w:val="en-GB"/>
        </w:rPr>
        <w:t xml:space="preserve"> Lambs </w:t>
      </w:r>
      <w:r w:rsidR="00E341F0" w:rsidRPr="000F0B8D">
        <w:rPr>
          <w:lang w:val="en-GB"/>
        </w:rPr>
        <w:t xml:space="preserve">Producer </w:t>
      </w:r>
      <w:r w:rsidRPr="000F0B8D">
        <w:rPr>
          <w:lang w:val="en-GB"/>
        </w:rPr>
        <w:t>Price Index</w:t>
      </w:r>
      <w:r w:rsidR="00E341F0" w:rsidRPr="000F0B8D">
        <w:rPr>
          <w:lang w:val="en-GB"/>
        </w:rPr>
        <w:t xml:space="preserve"> </w:t>
      </w:r>
      <w:r w:rsidRPr="000F0B8D">
        <w:rPr>
          <w:lang w:val="en-GB"/>
        </w:rPr>
        <w:t>includes weighted prices of lambs from 1</w:t>
      </w:r>
      <w:r w:rsidR="00B94F40" w:rsidRPr="000F0B8D">
        <w:rPr>
          <w:lang w:val="en-GB"/>
        </w:rPr>
        <w:t>1</w:t>
      </w:r>
      <w:r w:rsidRPr="000F0B8D">
        <w:rPr>
          <w:lang w:val="en-GB"/>
        </w:rPr>
        <w:t xml:space="preserve"> countries, with Australia, New Zealand, the </w:t>
      </w:r>
      <w:r w:rsidR="00EE4C5B" w:rsidRPr="000F0B8D">
        <w:rPr>
          <w:lang w:val="en-GB"/>
        </w:rPr>
        <w:t xml:space="preserve">EU and the </w:t>
      </w:r>
      <w:r w:rsidRPr="000F0B8D">
        <w:rPr>
          <w:lang w:val="en-GB"/>
        </w:rPr>
        <w:t xml:space="preserve">UK representing </w:t>
      </w:r>
      <w:r w:rsidR="00EE4C5B" w:rsidRPr="000F0B8D">
        <w:rPr>
          <w:lang w:val="en-GB"/>
        </w:rPr>
        <w:t>76</w:t>
      </w:r>
      <w:r w:rsidR="00870D14" w:rsidRPr="000F0B8D">
        <w:rPr>
          <w:lang w:val="en-GB"/>
        </w:rPr>
        <w:t xml:space="preserve"> percent</w:t>
      </w:r>
      <w:r w:rsidRPr="000F0B8D">
        <w:rPr>
          <w:lang w:val="en-GB"/>
        </w:rPr>
        <w:t xml:space="preserve"> of the production weighting in the </w:t>
      </w:r>
      <w:r w:rsidR="00DC35CE" w:rsidRPr="000F0B8D">
        <w:rPr>
          <w:lang w:val="en-GB"/>
        </w:rPr>
        <w:t>base period 2014</w:t>
      </w:r>
      <w:r w:rsidR="000F2942" w:rsidRPr="000F0B8D">
        <w:rPr>
          <w:lang w:val="en-GB"/>
        </w:rPr>
        <w:t>–</w:t>
      </w:r>
      <w:r w:rsidR="00DC35CE" w:rsidRPr="000F0B8D">
        <w:rPr>
          <w:lang w:val="en-GB"/>
        </w:rPr>
        <w:t>16</w:t>
      </w:r>
      <w:r w:rsidRPr="000F0B8D">
        <w:rPr>
          <w:lang w:val="en-GB"/>
        </w:rPr>
        <w:t xml:space="preserve">. </w:t>
      </w:r>
    </w:p>
    <w:p w14:paraId="69E40134" w14:textId="60C6B6E0" w:rsidR="006B2A69" w:rsidRPr="000D25B2" w:rsidRDefault="006B2A69" w:rsidP="006B2A69">
      <w:pPr>
        <w:spacing w:before="120" w:after="120" w:line="276" w:lineRule="auto"/>
        <w:rPr>
          <w:lang w:val="en-US"/>
        </w:rPr>
      </w:pPr>
      <w:r w:rsidRPr="000D25B2">
        <w:rPr>
          <w:lang w:val="en-US"/>
        </w:rPr>
        <w:t xml:space="preserve">As shown in Figure 4, lamb prices in Oceania closely mirror movements in the </w:t>
      </w:r>
      <w:proofErr w:type="spellStart"/>
      <w:r w:rsidRPr="000D25B2">
        <w:rPr>
          <w:i/>
          <w:iCs/>
          <w:lang w:val="en-US"/>
        </w:rPr>
        <w:t>agri</w:t>
      </w:r>
      <w:proofErr w:type="spellEnd"/>
      <w:r w:rsidRPr="000D25B2">
        <w:rPr>
          <w:i/>
          <w:iCs/>
          <w:lang w:val="en-US"/>
        </w:rPr>
        <w:t xml:space="preserve"> benchmark</w:t>
      </w:r>
      <w:r w:rsidRPr="000D25B2">
        <w:rPr>
          <w:lang w:val="en-US"/>
        </w:rPr>
        <w:t xml:space="preserve"> Index, exhibiting greater volatility and higher price levels, particularly since China’s emergence as a major importer in 2010. In contrast, prices across EU member states remain more stable and considerably lower.</w:t>
      </w:r>
    </w:p>
    <w:p w14:paraId="5F151059" w14:textId="1F22B0F2" w:rsidR="00215918" w:rsidRPr="000F0B8D" w:rsidRDefault="006B2A69" w:rsidP="00933A49">
      <w:pPr>
        <w:spacing w:before="120" w:after="120" w:line="276" w:lineRule="auto"/>
        <w:rPr>
          <w:lang w:val="en-GB"/>
        </w:rPr>
      </w:pPr>
      <w:r w:rsidRPr="000D25B2">
        <w:rPr>
          <w:lang w:val="en-US"/>
        </w:rPr>
        <w:t xml:space="preserve">After remaining near 100 index points between 2017 and 2020, the index reached a record 121 index point in 2021, driven by price increases in Australia, New Zealand, and Germany. The rise in Oceania was largely supported by strong Chinese demand and reduced Australian supply due to flock rebuilding after the 2018–2019 drought. </w:t>
      </w:r>
      <w:r w:rsidRPr="000F0B8D">
        <w:rPr>
          <w:lang w:val="en-GB"/>
        </w:rPr>
        <w:t>The Index subsequently declined by 3</w:t>
      </w:r>
      <w:r w:rsidR="00870D14" w:rsidRPr="000F0B8D">
        <w:rPr>
          <w:lang w:val="en-GB"/>
        </w:rPr>
        <w:t xml:space="preserve"> percent</w:t>
      </w:r>
      <w:r w:rsidRPr="000F0B8D">
        <w:rPr>
          <w:lang w:val="en-GB"/>
        </w:rPr>
        <w:t xml:space="preserve"> in 2022 and 8</w:t>
      </w:r>
      <w:r w:rsidR="00870D14">
        <w:rPr>
          <w:lang w:val="en-GB"/>
        </w:rPr>
        <w:t xml:space="preserve"> percent</w:t>
      </w:r>
      <w:r w:rsidRPr="000F0B8D">
        <w:rPr>
          <w:lang w:val="en-GB"/>
        </w:rPr>
        <w:t xml:space="preserve"> in 2023, mainly due to Australia’s rapid flock recovery, the fastest in a century, which led to record lamb production of 600,000 tonnes in 2023, up 18</w:t>
      </w:r>
      <w:r w:rsidR="00870D14">
        <w:rPr>
          <w:lang w:val="en-GB"/>
        </w:rPr>
        <w:t xml:space="preserve"> percent</w:t>
      </w:r>
      <w:r w:rsidRPr="000F0B8D">
        <w:rPr>
          <w:lang w:val="en-GB"/>
        </w:rPr>
        <w:t xml:space="preserve"> from 2021.</w:t>
      </w:r>
      <w:r w:rsidR="00933A49" w:rsidRPr="000F0B8D">
        <w:rPr>
          <w:lang w:val="en-GB"/>
        </w:rPr>
        <w:t xml:space="preserve"> </w:t>
      </w:r>
    </w:p>
    <w:p w14:paraId="1C4B0C8E" w14:textId="10EAEBD0" w:rsidR="00F63AA8" w:rsidRPr="000F0B8D" w:rsidRDefault="00843AB4" w:rsidP="00843AB4">
      <w:pPr>
        <w:spacing w:before="120" w:after="120" w:line="276" w:lineRule="auto"/>
        <w:rPr>
          <w:lang w:val="en-GB"/>
        </w:rPr>
      </w:pPr>
      <w:r w:rsidRPr="000D25B2">
        <w:rPr>
          <w:lang w:val="en-US"/>
        </w:rPr>
        <w:t>Following two consecutive years of decline, the Oceania Index rebounded sharply in 2024–2025, accompanied by accelerated increases in the EU and UK indices.</w:t>
      </w:r>
      <w:r w:rsidR="00154055" w:rsidRPr="000D25B2">
        <w:rPr>
          <w:lang w:val="en-US"/>
        </w:rPr>
        <w:t xml:space="preserve"> This in turn drove up the </w:t>
      </w:r>
      <w:proofErr w:type="spellStart"/>
      <w:r w:rsidR="00154055" w:rsidRPr="000D25B2">
        <w:rPr>
          <w:i/>
          <w:iCs/>
          <w:lang w:val="en-US"/>
        </w:rPr>
        <w:t>agri</w:t>
      </w:r>
      <w:proofErr w:type="spellEnd"/>
      <w:r w:rsidR="00154055" w:rsidRPr="000D25B2">
        <w:rPr>
          <w:i/>
          <w:iCs/>
          <w:lang w:val="en-US"/>
        </w:rPr>
        <w:t xml:space="preserve"> benchmark</w:t>
      </w:r>
      <w:r w:rsidR="00154055" w:rsidRPr="000D25B2">
        <w:rPr>
          <w:lang w:val="en-US"/>
        </w:rPr>
        <w:t xml:space="preserve"> Lambs Price Index to a new record level in 202</w:t>
      </w:r>
      <w:r w:rsidR="00933A49" w:rsidRPr="000D25B2">
        <w:rPr>
          <w:lang w:val="en-US"/>
        </w:rPr>
        <w:t>5</w:t>
      </w:r>
      <w:r w:rsidR="00154055" w:rsidRPr="000D25B2">
        <w:rPr>
          <w:lang w:val="en-US"/>
        </w:rPr>
        <w:t xml:space="preserve"> at 139 index point. </w:t>
      </w:r>
      <w:r w:rsidRPr="000D25B2">
        <w:rPr>
          <w:lang w:val="en-US"/>
        </w:rPr>
        <w:t xml:space="preserve">Australian lamb production also peaked in 2024 at 629,000 </w:t>
      </w:r>
      <w:proofErr w:type="spellStart"/>
      <w:r w:rsidRPr="000D25B2">
        <w:rPr>
          <w:lang w:val="en-US"/>
        </w:rPr>
        <w:t>tonnes</w:t>
      </w:r>
      <w:proofErr w:type="spellEnd"/>
      <w:r w:rsidRPr="000D25B2">
        <w:rPr>
          <w:lang w:val="en-US"/>
        </w:rPr>
        <w:t xml:space="preserve">, driven by flock expansion </w:t>
      </w:r>
      <w:r w:rsidR="00154055" w:rsidRPr="000D25B2">
        <w:rPr>
          <w:lang w:val="en-US"/>
        </w:rPr>
        <w:t xml:space="preserve">and the shift from Merino wool-focused flocks toward dual-purpose or lamb-focused flocks. </w:t>
      </w:r>
      <w:r w:rsidRPr="000F0B8D">
        <w:rPr>
          <w:lang w:val="en-GB"/>
        </w:rPr>
        <w:t>Despite abundant domestic supply, strong export demand from China, the U</w:t>
      </w:r>
      <w:r w:rsidR="00222CE9" w:rsidRPr="000F0B8D">
        <w:rPr>
          <w:lang w:val="en-GB"/>
        </w:rPr>
        <w:t>S</w:t>
      </w:r>
      <w:r w:rsidRPr="000F0B8D">
        <w:rPr>
          <w:lang w:val="en-GB"/>
        </w:rPr>
        <w:t>, and the Middle East sustained high prices, pushing the export value of Australian sheep meat up by 17</w:t>
      </w:r>
      <w:r w:rsidR="00870D14" w:rsidRPr="000F0B8D">
        <w:rPr>
          <w:lang w:val="en-GB"/>
        </w:rPr>
        <w:t xml:space="preserve"> percent</w:t>
      </w:r>
      <w:r w:rsidRPr="000F0B8D">
        <w:rPr>
          <w:lang w:val="en-GB"/>
        </w:rPr>
        <w:t xml:space="preserve"> to a record USD 5.17 billion.</w:t>
      </w:r>
    </w:p>
    <w:p w14:paraId="107745AB" w14:textId="32DF180C" w:rsidR="00066F67" w:rsidRPr="00657B6C" w:rsidRDefault="00843AB4" w:rsidP="00154055">
      <w:pPr>
        <w:spacing w:before="120" w:after="120" w:line="276" w:lineRule="auto"/>
        <w:rPr>
          <w:lang w:val="en-GB"/>
        </w:rPr>
      </w:pPr>
      <w:r w:rsidRPr="00657B6C">
        <w:rPr>
          <w:lang w:val="en-GB"/>
        </w:rPr>
        <w:t>In the EU and UK, lamb prices in 2024–2025 were supported by adverse factors including disease outbreaks (Bluetongue serotypes 3 and 8 in France), unfavo</w:t>
      </w:r>
      <w:r w:rsidR="00272D88">
        <w:rPr>
          <w:lang w:val="en-GB"/>
        </w:rPr>
        <w:t>u</w:t>
      </w:r>
      <w:r w:rsidRPr="00657B6C">
        <w:rPr>
          <w:lang w:val="en-GB"/>
        </w:rPr>
        <w:t>rable weather conditions leading to higher lamb mortality, and reduced direct payments, all contributing to tighter production conditions and higher prices.</w:t>
      </w:r>
    </w:p>
    <w:p w14:paraId="7AEFFA1C" w14:textId="5B01D5F5" w:rsidR="00EB4D04" w:rsidRPr="000D25B2" w:rsidRDefault="00EB4D04" w:rsidP="00EB4D04">
      <w:pPr>
        <w:pStyle w:val="Abbildung"/>
        <w:rPr>
          <w:b w:val="0"/>
          <w:lang w:val="en-US"/>
        </w:rPr>
      </w:pPr>
      <w:bookmarkStart w:id="5" w:name="_Hlk211090878"/>
      <w:r w:rsidRPr="000D25B2">
        <w:rPr>
          <w:lang w:val="en-US"/>
        </w:rPr>
        <w:lastRenderedPageBreak/>
        <w:t>Figure 4:</w:t>
      </w:r>
      <w:r w:rsidRPr="000D25B2">
        <w:rPr>
          <w:lang w:val="en-US"/>
        </w:rPr>
        <w:tab/>
      </w:r>
      <w:r w:rsidRPr="000D25B2">
        <w:rPr>
          <w:b w:val="0"/>
          <w:lang w:val="en-US"/>
        </w:rPr>
        <w:t xml:space="preserve">The </w:t>
      </w:r>
      <w:proofErr w:type="spellStart"/>
      <w:r w:rsidRPr="000D25B2">
        <w:rPr>
          <w:b w:val="0"/>
          <w:i/>
          <w:iCs/>
          <w:lang w:val="en-US"/>
        </w:rPr>
        <w:t>agri</w:t>
      </w:r>
      <w:proofErr w:type="spellEnd"/>
      <w:r w:rsidRPr="000D25B2">
        <w:rPr>
          <w:b w:val="0"/>
          <w:i/>
          <w:iCs/>
          <w:lang w:val="en-US"/>
        </w:rPr>
        <w:t xml:space="preserve"> benchmark</w:t>
      </w:r>
      <w:r w:rsidRPr="000D25B2">
        <w:rPr>
          <w:b w:val="0"/>
          <w:lang w:val="en-US"/>
        </w:rPr>
        <w:t xml:space="preserve"> and regional Lambs Producer Price Indices</w:t>
      </w:r>
      <w:bookmarkEnd w:id="5"/>
    </w:p>
    <w:p w14:paraId="1823FEAD" w14:textId="7452E079" w:rsidR="00EE4C5B" w:rsidRPr="00215918" w:rsidRDefault="00EE4C5B" w:rsidP="00657B6C">
      <w:pPr>
        <w:pStyle w:val="Grafik"/>
      </w:pPr>
      <w:r>
        <w:drawing>
          <wp:inline distT="0" distB="0" distL="0" distR="0" wp14:anchorId="2A7A8994" wp14:editId="70CE340F">
            <wp:extent cx="5943600" cy="3202305"/>
            <wp:effectExtent l="0" t="0" r="0" b="0"/>
            <wp:docPr id="852991319" name="Chart 1">
              <a:extLst xmlns:a="http://schemas.openxmlformats.org/drawingml/2006/main">
                <a:ext uri="{FF2B5EF4-FFF2-40B4-BE49-F238E27FC236}">
                  <a16:creationId xmlns:a16="http://schemas.microsoft.com/office/drawing/2014/main" id="{394D6D59-ABFE-4128-95B1-5D324C147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429BF5" w14:textId="4B195163" w:rsidR="00845897" w:rsidRDefault="00845897" w:rsidP="00845897">
      <w:pPr>
        <w:pStyle w:val="Quelle"/>
        <w:spacing w:before="0" w:line="240" w:lineRule="auto"/>
        <w:ind w:left="709" w:hanging="709"/>
        <w:rPr>
          <w:i/>
          <w:iCs/>
          <w:szCs w:val="24"/>
          <w:lang w:val="en-GB"/>
        </w:rPr>
      </w:pPr>
      <w:r w:rsidRPr="008063C3">
        <w:rPr>
          <w:lang w:val="en-GB"/>
        </w:rPr>
        <w:t>Source:</w:t>
      </w:r>
      <w:r w:rsidRPr="008063C3">
        <w:rPr>
          <w:lang w:val="en-GB"/>
        </w:rPr>
        <w:tab/>
      </w:r>
      <w:proofErr w:type="spellStart"/>
      <w:r w:rsidRPr="00CB7A9C">
        <w:rPr>
          <w:i/>
          <w:iCs/>
          <w:lang w:val="en-GB"/>
        </w:rPr>
        <w:t>agri</w:t>
      </w:r>
      <w:proofErr w:type="spellEnd"/>
      <w:r w:rsidRPr="00CB7A9C">
        <w:rPr>
          <w:i/>
          <w:iCs/>
          <w:lang w:val="en-GB"/>
        </w:rPr>
        <w:t xml:space="preserve"> benchmark</w:t>
      </w:r>
      <w:r w:rsidRPr="00CE71D6">
        <w:rPr>
          <w:lang w:val="en-GB"/>
        </w:rPr>
        <w:t xml:space="preserve"> database, </w:t>
      </w:r>
      <w:r w:rsidRPr="000D25B2">
        <w:rPr>
          <w:lang w:val="en-US"/>
        </w:rPr>
        <w:t>202</w:t>
      </w:r>
      <w:r w:rsidRPr="00272D88">
        <w:rPr>
          <w:rFonts w:hint="cs"/>
          <w:szCs w:val="18"/>
          <w:rtl/>
        </w:rPr>
        <w:t>5</w:t>
      </w:r>
      <w:r>
        <w:rPr>
          <w:lang w:val="en-GB"/>
        </w:rPr>
        <w:t xml:space="preserve">. Own illustration. </w:t>
      </w:r>
      <w:r>
        <w:rPr>
          <w:i/>
          <w:iCs/>
          <w:szCs w:val="24"/>
          <w:lang w:val="en-GB"/>
        </w:rPr>
        <w:t xml:space="preserve">Lambs’ </w:t>
      </w:r>
      <w:r w:rsidRPr="00D352F3">
        <w:rPr>
          <w:i/>
          <w:iCs/>
          <w:szCs w:val="24"/>
          <w:lang w:val="en-GB"/>
        </w:rPr>
        <w:t xml:space="preserve">prices based on USD / kg </w:t>
      </w:r>
      <w:r>
        <w:rPr>
          <w:i/>
          <w:iCs/>
          <w:szCs w:val="24"/>
          <w:lang w:val="en-GB"/>
        </w:rPr>
        <w:t>carcass</w:t>
      </w:r>
      <w:r w:rsidRPr="00D352F3">
        <w:rPr>
          <w:i/>
          <w:iCs/>
          <w:szCs w:val="24"/>
          <w:lang w:val="en-GB"/>
        </w:rPr>
        <w:t xml:space="preserve"> weight</w:t>
      </w:r>
      <w:r>
        <w:rPr>
          <w:i/>
          <w:iCs/>
          <w:szCs w:val="24"/>
          <w:lang w:val="en-GB"/>
        </w:rPr>
        <w:t>.</w:t>
      </w:r>
    </w:p>
    <w:p w14:paraId="48AA2E21" w14:textId="77777777" w:rsidR="00C55639" w:rsidRPr="00C55639" w:rsidRDefault="00C55639" w:rsidP="00C55639">
      <w:pPr>
        <w:pStyle w:val="Quelle"/>
        <w:spacing w:before="0" w:line="240" w:lineRule="auto"/>
        <w:ind w:left="709" w:hanging="709"/>
        <w:rPr>
          <w:lang w:val="en-GB"/>
        </w:rPr>
      </w:pPr>
      <w:r w:rsidRPr="00220A48">
        <w:rPr>
          <w:lang w:val="en-GB"/>
        </w:rPr>
        <w:t>*2025 data represents January through June</w:t>
      </w:r>
      <w:r>
        <w:rPr>
          <w:lang w:val="en-GB"/>
        </w:rPr>
        <w:t>.</w:t>
      </w:r>
    </w:p>
    <w:p w14:paraId="5F070658" w14:textId="69F775AA" w:rsidR="00683E3E" w:rsidRPr="00683E3E" w:rsidRDefault="00683E3E" w:rsidP="00657B6C">
      <w:pPr>
        <w:pStyle w:val="berschrift2"/>
        <w:spacing w:before="480"/>
        <w:ind w:left="578" w:hanging="578"/>
        <w:jc w:val="both"/>
        <w:rPr>
          <w:lang w:val="en-GB"/>
        </w:rPr>
      </w:pPr>
      <w:r>
        <w:rPr>
          <w:lang w:val="en-GB"/>
        </w:rPr>
        <w:tab/>
      </w:r>
      <w:r w:rsidRPr="00683E3E">
        <w:rPr>
          <w:lang w:val="en-GB"/>
        </w:rPr>
        <w:t xml:space="preserve">The Sheep </w:t>
      </w:r>
      <w:r w:rsidR="006A581C">
        <w:rPr>
          <w:lang w:val="en-GB"/>
        </w:rPr>
        <w:t xml:space="preserve">Meat </w:t>
      </w:r>
      <w:r w:rsidR="00533628">
        <w:rPr>
          <w:lang w:val="en-GB"/>
        </w:rPr>
        <w:t xml:space="preserve">Producer </w:t>
      </w:r>
      <w:r w:rsidRPr="00683E3E">
        <w:rPr>
          <w:lang w:val="en-GB"/>
        </w:rPr>
        <w:t>Price Index</w:t>
      </w:r>
    </w:p>
    <w:p w14:paraId="2B8B4632" w14:textId="1F65515F" w:rsidR="00CF0DBF" w:rsidRPr="00712A0B" w:rsidRDefault="00CF0DBF" w:rsidP="00843AB4">
      <w:pPr>
        <w:spacing w:before="120" w:after="120" w:line="276" w:lineRule="auto"/>
        <w:rPr>
          <w:lang w:val="en-US"/>
        </w:rPr>
      </w:pPr>
      <w:r w:rsidRPr="00712A0B">
        <w:rPr>
          <w:lang w:val="en-US"/>
        </w:rPr>
        <w:t xml:space="preserve">In many countries, there is no data distinguishing lambs from sheep, just a combined total. Hence, whereas the </w:t>
      </w:r>
      <w:proofErr w:type="spellStart"/>
      <w:r w:rsidRPr="00712A0B">
        <w:rPr>
          <w:i/>
          <w:iCs/>
          <w:lang w:val="en-US"/>
        </w:rPr>
        <w:t>agri</w:t>
      </w:r>
      <w:proofErr w:type="spellEnd"/>
      <w:r w:rsidRPr="00712A0B">
        <w:rPr>
          <w:i/>
          <w:iCs/>
          <w:lang w:val="en-US"/>
        </w:rPr>
        <w:t xml:space="preserve"> benchmark</w:t>
      </w:r>
      <w:r w:rsidRPr="00712A0B">
        <w:rPr>
          <w:lang w:val="en-US"/>
        </w:rPr>
        <w:t xml:space="preserve"> </w:t>
      </w:r>
      <w:r w:rsidR="0001510E" w:rsidRPr="00712A0B">
        <w:rPr>
          <w:lang w:val="en-US"/>
        </w:rPr>
        <w:t>Lambs Price Index</w:t>
      </w:r>
      <w:r w:rsidRPr="00712A0B">
        <w:rPr>
          <w:lang w:val="en-US"/>
        </w:rPr>
        <w:t xml:space="preserve"> ha</w:t>
      </w:r>
      <w:r w:rsidR="00DF2631" w:rsidRPr="00712A0B">
        <w:rPr>
          <w:lang w:val="en-US"/>
        </w:rPr>
        <w:t>s</w:t>
      </w:r>
      <w:r w:rsidRPr="00712A0B">
        <w:rPr>
          <w:lang w:val="en-US"/>
        </w:rPr>
        <w:t xml:space="preserve"> 1</w:t>
      </w:r>
      <w:r w:rsidR="00FC09D7" w:rsidRPr="00712A0B">
        <w:rPr>
          <w:lang w:val="en-US"/>
        </w:rPr>
        <w:t>1</w:t>
      </w:r>
      <w:r w:rsidRPr="00712A0B">
        <w:rPr>
          <w:lang w:val="en-US"/>
        </w:rPr>
        <w:t xml:space="preserve"> contributing countries, the Lambs and Sheep Price Index includes weighted prices from 2</w:t>
      </w:r>
      <w:r w:rsidR="00387836" w:rsidRPr="00712A0B">
        <w:rPr>
          <w:lang w:val="en-US"/>
        </w:rPr>
        <w:t>0</w:t>
      </w:r>
      <w:r w:rsidRPr="00712A0B">
        <w:rPr>
          <w:lang w:val="en-US"/>
        </w:rPr>
        <w:t xml:space="preserve"> countries. </w:t>
      </w:r>
      <w:r w:rsidRPr="000F0B8D">
        <w:rPr>
          <w:lang w:val="en-GB"/>
        </w:rPr>
        <w:t xml:space="preserve">Since China contributes </w:t>
      </w:r>
      <w:r w:rsidR="00130583" w:rsidRPr="000F0B8D">
        <w:rPr>
          <w:lang w:val="en-GB"/>
        </w:rPr>
        <w:t>60</w:t>
      </w:r>
      <w:r w:rsidR="00870D14" w:rsidRPr="000F0B8D">
        <w:rPr>
          <w:lang w:val="en-GB"/>
        </w:rPr>
        <w:t xml:space="preserve"> percent</w:t>
      </w:r>
      <w:r w:rsidRPr="000F0B8D">
        <w:rPr>
          <w:lang w:val="en-GB"/>
        </w:rPr>
        <w:t xml:space="preserve"> of the sheep production share in the globe, it dominate</w:t>
      </w:r>
      <w:r w:rsidR="00A9267E" w:rsidRPr="000F0B8D">
        <w:rPr>
          <w:lang w:val="en-GB"/>
        </w:rPr>
        <w:t>s</w:t>
      </w:r>
      <w:r w:rsidRPr="000F0B8D">
        <w:rPr>
          <w:lang w:val="en-GB"/>
        </w:rPr>
        <w:t xml:space="preserve"> the weighting. </w:t>
      </w:r>
      <w:r w:rsidRPr="00712A0B">
        <w:rPr>
          <w:lang w:val="en-US"/>
        </w:rPr>
        <w:t xml:space="preserve">Thus, to build up a </w:t>
      </w:r>
      <w:proofErr w:type="gramStart"/>
      <w:r w:rsidR="000447F1" w:rsidRPr="00712A0B">
        <w:rPr>
          <w:lang w:val="en-US"/>
        </w:rPr>
        <w:t xml:space="preserve">more </w:t>
      </w:r>
      <w:r w:rsidRPr="00712A0B">
        <w:rPr>
          <w:lang w:val="en-US"/>
        </w:rPr>
        <w:t>complete and realistic</w:t>
      </w:r>
      <w:proofErr w:type="gramEnd"/>
      <w:r w:rsidRPr="00712A0B">
        <w:rPr>
          <w:lang w:val="en-US"/>
        </w:rPr>
        <w:t xml:space="preserve"> picture o</w:t>
      </w:r>
      <w:r w:rsidR="000447F1" w:rsidRPr="00712A0B">
        <w:rPr>
          <w:lang w:val="en-US"/>
        </w:rPr>
        <w:t>f</w:t>
      </w:r>
      <w:r w:rsidRPr="00712A0B">
        <w:rPr>
          <w:lang w:val="en-US"/>
        </w:rPr>
        <w:t xml:space="preserve"> how the global sheep meat prices are developing, we introduce the Sheep </w:t>
      </w:r>
      <w:r w:rsidR="00C05CEE" w:rsidRPr="00712A0B">
        <w:rPr>
          <w:lang w:val="en-US"/>
        </w:rPr>
        <w:t xml:space="preserve">Meat </w:t>
      </w:r>
      <w:r w:rsidR="00671606" w:rsidRPr="00712A0B">
        <w:rPr>
          <w:lang w:val="en-US"/>
        </w:rPr>
        <w:t xml:space="preserve">Producer Price </w:t>
      </w:r>
      <w:r w:rsidRPr="00712A0B">
        <w:rPr>
          <w:lang w:val="en-US"/>
        </w:rPr>
        <w:t xml:space="preserve">Index </w:t>
      </w:r>
      <w:r w:rsidR="00ED7510" w:rsidRPr="00712A0B">
        <w:rPr>
          <w:lang w:val="en-US"/>
        </w:rPr>
        <w:t>including</w:t>
      </w:r>
      <w:r w:rsidRPr="00712A0B">
        <w:rPr>
          <w:lang w:val="en-US"/>
        </w:rPr>
        <w:t xml:space="preserve"> and </w:t>
      </w:r>
      <w:r w:rsidR="00ED7510" w:rsidRPr="00712A0B">
        <w:rPr>
          <w:lang w:val="en-US"/>
        </w:rPr>
        <w:t xml:space="preserve">excluding </w:t>
      </w:r>
      <w:r w:rsidRPr="00712A0B">
        <w:rPr>
          <w:lang w:val="en-US"/>
        </w:rPr>
        <w:t>China.</w:t>
      </w:r>
    </w:p>
    <w:p w14:paraId="1910B90B" w14:textId="598C5C84" w:rsidR="00CF0DBF" w:rsidRPr="000F0B8D" w:rsidRDefault="00CF0DBF" w:rsidP="00843AB4">
      <w:pPr>
        <w:spacing w:before="120" w:after="120" w:line="276" w:lineRule="auto"/>
        <w:rPr>
          <w:lang w:val="en-GB"/>
        </w:rPr>
      </w:pPr>
      <w:r w:rsidRPr="000F0B8D">
        <w:rPr>
          <w:lang w:val="en-GB"/>
        </w:rPr>
        <w:t>Australia and New Zealand have a combined 4</w:t>
      </w:r>
      <w:r w:rsidR="007947A3" w:rsidRPr="000F0B8D">
        <w:rPr>
          <w:lang w:val="en-GB"/>
        </w:rPr>
        <w:t>0</w:t>
      </w:r>
      <w:r w:rsidR="00870D14" w:rsidRPr="000F0B8D">
        <w:rPr>
          <w:lang w:val="en-GB"/>
        </w:rPr>
        <w:t xml:space="preserve"> percent</w:t>
      </w:r>
      <w:r w:rsidRPr="000F0B8D">
        <w:rPr>
          <w:lang w:val="en-GB"/>
        </w:rPr>
        <w:t xml:space="preserve"> of the production weighting in the</w:t>
      </w:r>
      <w:r w:rsidR="00073405" w:rsidRPr="000F0B8D">
        <w:rPr>
          <w:lang w:val="en-GB"/>
        </w:rPr>
        <w:t xml:space="preserve"> </w:t>
      </w:r>
      <w:proofErr w:type="spellStart"/>
      <w:r w:rsidR="00073405" w:rsidRPr="000F0B8D">
        <w:rPr>
          <w:i/>
          <w:iCs/>
          <w:lang w:val="en-GB"/>
        </w:rPr>
        <w:t>agri</w:t>
      </w:r>
      <w:proofErr w:type="spellEnd"/>
      <w:r w:rsidR="00073405" w:rsidRPr="000F0B8D">
        <w:rPr>
          <w:i/>
          <w:iCs/>
          <w:lang w:val="en-GB"/>
        </w:rPr>
        <w:t xml:space="preserve"> benchmark</w:t>
      </w:r>
      <w:r w:rsidR="00073405" w:rsidRPr="000F0B8D">
        <w:rPr>
          <w:lang w:val="en-GB"/>
        </w:rPr>
        <w:t xml:space="preserve"> </w:t>
      </w:r>
      <w:r w:rsidR="0001510E" w:rsidRPr="000F0B8D">
        <w:rPr>
          <w:lang w:val="en-GB"/>
        </w:rPr>
        <w:t>Sheep Meat Price Index</w:t>
      </w:r>
      <w:r w:rsidR="00033371" w:rsidRPr="000F0B8D">
        <w:rPr>
          <w:lang w:val="en-GB"/>
        </w:rPr>
        <w:t xml:space="preserve"> </w:t>
      </w:r>
      <w:r w:rsidR="005C1296" w:rsidRPr="000F0B8D">
        <w:rPr>
          <w:lang w:val="en-GB"/>
        </w:rPr>
        <w:t>(excluding</w:t>
      </w:r>
      <w:r w:rsidR="00033371" w:rsidRPr="000F0B8D">
        <w:rPr>
          <w:lang w:val="en-GB"/>
        </w:rPr>
        <w:t xml:space="preserve"> China</w:t>
      </w:r>
      <w:r w:rsidR="005C1296" w:rsidRPr="000F0B8D">
        <w:rPr>
          <w:lang w:val="en-GB"/>
        </w:rPr>
        <w:t>)</w:t>
      </w:r>
      <w:r w:rsidR="007520F4" w:rsidRPr="000F0B8D">
        <w:rPr>
          <w:lang w:val="en-GB"/>
        </w:rPr>
        <w:t xml:space="preserve">. </w:t>
      </w:r>
      <w:r w:rsidRPr="000F0B8D">
        <w:rPr>
          <w:lang w:val="en-GB"/>
        </w:rPr>
        <w:t>Other significant countries in the</w:t>
      </w:r>
      <w:r w:rsidR="0099746F" w:rsidRPr="000F0B8D">
        <w:rPr>
          <w:lang w:val="en-GB"/>
        </w:rPr>
        <w:t xml:space="preserve"> </w:t>
      </w:r>
      <w:r w:rsidRPr="000F0B8D">
        <w:rPr>
          <w:lang w:val="en-GB"/>
        </w:rPr>
        <w:t xml:space="preserve">index are Algeria, Iran and the UK, </w:t>
      </w:r>
      <w:r w:rsidR="00D406EF" w:rsidRPr="000F0B8D">
        <w:rPr>
          <w:lang w:val="en-GB"/>
        </w:rPr>
        <w:t>each</w:t>
      </w:r>
      <w:r w:rsidRPr="000F0B8D">
        <w:rPr>
          <w:lang w:val="en-GB"/>
        </w:rPr>
        <w:t xml:space="preserve"> with a </w:t>
      </w:r>
      <w:r w:rsidR="00881F75" w:rsidRPr="000F0B8D">
        <w:rPr>
          <w:lang w:val="en-GB"/>
        </w:rPr>
        <w:t>9</w:t>
      </w:r>
      <w:r w:rsidR="000F2942" w:rsidRPr="000F0B8D">
        <w:rPr>
          <w:lang w:val="en-GB"/>
        </w:rPr>
        <w:t>–</w:t>
      </w:r>
      <w:r w:rsidR="00881F75" w:rsidRPr="000F0B8D">
        <w:rPr>
          <w:lang w:val="en-GB"/>
        </w:rPr>
        <w:t>1</w:t>
      </w:r>
      <w:r w:rsidR="00F76A86" w:rsidRPr="000F0B8D">
        <w:rPr>
          <w:lang w:val="en-GB"/>
        </w:rPr>
        <w:t>1</w:t>
      </w:r>
      <w:r w:rsidR="00870D14" w:rsidRPr="000F0B8D">
        <w:rPr>
          <w:lang w:val="en-GB"/>
        </w:rPr>
        <w:t xml:space="preserve"> percent</w:t>
      </w:r>
      <w:r w:rsidRPr="000F0B8D">
        <w:rPr>
          <w:lang w:val="en-GB"/>
        </w:rPr>
        <w:t xml:space="preserve"> share </w:t>
      </w:r>
      <w:r w:rsidR="00881F75" w:rsidRPr="000F0B8D">
        <w:rPr>
          <w:lang w:val="en-GB"/>
        </w:rPr>
        <w:t>in the base period 2014</w:t>
      </w:r>
      <w:r w:rsidR="000F2942" w:rsidRPr="000F0B8D">
        <w:rPr>
          <w:lang w:val="en-GB"/>
        </w:rPr>
        <w:t>–</w:t>
      </w:r>
      <w:r w:rsidR="00881F75" w:rsidRPr="000F0B8D">
        <w:rPr>
          <w:lang w:val="en-GB"/>
        </w:rPr>
        <w:t>16</w:t>
      </w:r>
      <w:r w:rsidRPr="000F0B8D">
        <w:rPr>
          <w:lang w:val="en-GB"/>
        </w:rPr>
        <w:t xml:space="preserve">. </w:t>
      </w:r>
    </w:p>
    <w:p w14:paraId="7272AE8A" w14:textId="45BA6142" w:rsidR="00CF0DBF" w:rsidRPr="000D25B2" w:rsidRDefault="00CF0DBF" w:rsidP="00843AB4">
      <w:pPr>
        <w:spacing w:before="120" w:after="120" w:line="276" w:lineRule="auto"/>
        <w:rPr>
          <w:lang w:val="en-US"/>
        </w:rPr>
      </w:pPr>
      <w:r w:rsidRPr="000D25B2">
        <w:rPr>
          <w:lang w:val="en-US"/>
        </w:rPr>
        <w:t xml:space="preserve">The </w:t>
      </w:r>
      <w:proofErr w:type="spellStart"/>
      <w:r w:rsidRPr="000D25B2">
        <w:rPr>
          <w:i/>
          <w:iCs/>
          <w:lang w:val="en-US"/>
        </w:rPr>
        <w:t>agri</w:t>
      </w:r>
      <w:proofErr w:type="spellEnd"/>
      <w:r w:rsidRPr="000D25B2">
        <w:rPr>
          <w:i/>
          <w:iCs/>
          <w:lang w:val="en-US"/>
        </w:rPr>
        <w:t xml:space="preserve"> benchmark</w:t>
      </w:r>
      <w:r w:rsidRPr="000D25B2">
        <w:rPr>
          <w:lang w:val="en-US"/>
        </w:rPr>
        <w:t xml:space="preserve"> </w:t>
      </w:r>
      <w:r w:rsidR="0001510E" w:rsidRPr="000D25B2">
        <w:rPr>
          <w:lang w:val="en-US"/>
        </w:rPr>
        <w:t>Sheep Meat Price Index</w:t>
      </w:r>
      <w:r w:rsidRPr="000D25B2">
        <w:rPr>
          <w:lang w:val="en-US"/>
        </w:rPr>
        <w:t xml:space="preserve"> </w:t>
      </w:r>
      <w:r w:rsidR="00FE796B" w:rsidRPr="000D25B2">
        <w:rPr>
          <w:lang w:val="en-US"/>
        </w:rPr>
        <w:t xml:space="preserve">(excluding China) </w:t>
      </w:r>
      <w:r w:rsidRPr="000D25B2">
        <w:rPr>
          <w:lang w:val="en-US"/>
        </w:rPr>
        <w:t xml:space="preserve">displayed broadly the same movements as the Lambs Price Index (Figure </w:t>
      </w:r>
      <w:r w:rsidR="00EB4D04" w:rsidRPr="000D25B2">
        <w:rPr>
          <w:lang w:val="en-US"/>
        </w:rPr>
        <w:t>5</w:t>
      </w:r>
      <w:r w:rsidRPr="000D25B2">
        <w:rPr>
          <w:lang w:val="en-US"/>
        </w:rPr>
        <w:t xml:space="preserve">), rising to a peak in 2011 before falling back to 2015 and recovering over the last four years. </w:t>
      </w:r>
      <w:r w:rsidR="00024E6A" w:rsidRPr="000D25B2">
        <w:rPr>
          <w:lang w:val="en-US"/>
        </w:rPr>
        <w:t xml:space="preserve">However, following the 2011 peak, </w:t>
      </w:r>
      <w:r w:rsidR="007C29A0" w:rsidRPr="000D25B2">
        <w:rPr>
          <w:lang w:val="en-US"/>
        </w:rPr>
        <w:t xml:space="preserve">the </w:t>
      </w:r>
      <w:r w:rsidR="0001510E" w:rsidRPr="000D25B2">
        <w:rPr>
          <w:lang w:val="en-US"/>
        </w:rPr>
        <w:t>index</w:t>
      </w:r>
      <w:r w:rsidR="007C29A0" w:rsidRPr="000D25B2">
        <w:rPr>
          <w:lang w:val="en-US"/>
        </w:rPr>
        <w:t xml:space="preserve"> (excl</w:t>
      </w:r>
      <w:r w:rsidR="0001508A" w:rsidRPr="000D25B2">
        <w:rPr>
          <w:lang w:val="en-US"/>
        </w:rPr>
        <w:t xml:space="preserve">uding China) </w:t>
      </w:r>
      <w:r w:rsidR="00024E6A" w:rsidRPr="000D25B2">
        <w:rPr>
          <w:lang w:val="en-US"/>
        </w:rPr>
        <w:t xml:space="preserve">showed an identical change </w:t>
      </w:r>
      <w:r w:rsidR="007C29A0" w:rsidRPr="000D25B2">
        <w:rPr>
          <w:lang w:val="en-US"/>
        </w:rPr>
        <w:t>to</w:t>
      </w:r>
      <w:r w:rsidR="00024E6A" w:rsidRPr="000D25B2">
        <w:rPr>
          <w:lang w:val="en-US"/>
        </w:rPr>
        <w:t xml:space="preserve"> that of</w:t>
      </w:r>
      <w:r w:rsidR="0001508A" w:rsidRPr="000D25B2">
        <w:rPr>
          <w:lang w:val="en-US"/>
        </w:rPr>
        <w:t xml:space="preserve"> the </w:t>
      </w:r>
      <w:r w:rsidR="0001510E" w:rsidRPr="000D25B2">
        <w:rPr>
          <w:lang w:val="en-US"/>
        </w:rPr>
        <w:t>Lambs Price Index</w:t>
      </w:r>
      <w:r w:rsidR="00024E6A" w:rsidRPr="000D25B2">
        <w:rPr>
          <w:lang w:val="en-US"/>
        </w:rPr>
        <w:t xml:space="preserve"> until 2016. </w:t>
      </w:r>
      <w:r w:rsidRPr="000D25B2">
        <w:rPr>
          <w:lang w:val="en-US"/>
        </w:rPr>
        <w:t xml:space="preserve">The reason for this is probably the influence of the rapid rise in China’s import demand, which would have lifted the value of sheep more than it did for lambs. </w:t>
      </w:r>
    </w:p>
    <w:p w14:paraId="349ED1AE" w14:textId="79124FD1" w:rsidR="00CF0DBF" w:rsidRPr="000D25B2" w:rsidRDefault="00CF0DBF" w:rsidP="00272D88">
      <w:pPr>
        <w:pStyle w:val="Abbildung"/>
        <w:jc w:val="left"/>
        <w:rPr>
          <w:b w:val="0"/>
          <w:lang w:val="en-US"/>
        </w:rPr>
      </w:pPr>
      <w:bookmarkStart w:id="6" w:name="_Hlk57662027"/>
      <w:r w:rsidRPr="000D25B2">
        <w:rPr>
          <w:lang w:val="en-US"/>
        </w:rPr>
        <w:lastRenderedPageBreak/>
        <w:t xml:space="preserve">Figure </w:t>
      </w:r>
      <w:r w:rsidR="00EB4D04" w:rsidRPr="000D25B2">
        <w:rPr>
          <w:lang w:val="en-US"/>
        </w:rPr>
        <w:t>5</w:t>
      </w:r>
      <w:r w:rsidRPr="000D25B2">
        <w:rPr>
          <w:lang w:val="en-US"/>
        </w:rPr>
        <w:t>:</w:t>
      </w:r>
      <w:r w:rsidRPr="000D25B2">
        <w:rPr>
          <w:lang w:val="en-US"/>
        </w:rPr>
        <w:tab/>
      </w:r>
      <w:r w:rsidRPr="000D25B2">
        <w:rPr>
          <w:b w:val="0"/>
          <w:lang w:val="en-US"/>
        </w:rPr>
        <w:t xml:space="preserve">Comparison of the </w:t>
      </w:r>
      <w:proofErr w:type="spellStart"/>
      <w:r w:rsidRPr="000D25B2">
        <w:rPr>
          <w:b w:val="0"/>
          <w:i/>
          <w:iCs/>
          <w:lang w:val="en-US"/>
        </w:rPr>
        <w:t>agri</w:t>
      </w:r>
      <w:proofErr w:type="spellEnd"/>
      <w:r w:rsidRPr="000D25B2">
        <w:rPr>
          <w:b w:val="0"/>
          <w:i/>
          <w:iCs/>
          <w:lang w:val="en-US"/>
        </w:rPr>
        <w:t xml:space="preserve"> benchmark</w:t>
      </w:r>
      <w:r w:rsidRPr="000D25B2">
        <w:rPr>
          <w:b w:val="0"/>
          <w:lang w:val="en-US"/>
        </w:rPr>
        <w:t xml:space="preserve"> </w:t>
      </w:r>
      <w:r w:rsidR="00745539" w:rsidRPr="000D25B2">
        <w:rPr>
          <w:b w:val="0"/>
          <w:lang w:val="en-US"/>
        </w:rPr>
        <w:t>Sheep Meat</w:t>
      </w:r>
      <w:r w:rsidRPr="000D25B2">
        <w:rPr>
          <w:b w:val="0"/>
          <w:lang w:val="en-US"/>
        </w:rPr>
        <w:t xml:space="preserve"> </w:t>
      </w:r>
      <w:r w:rsidR="00E762CB" w:rsidRPr="000D25B2">
        <w:rPr>
          <w:b w:val="0"/>
          <w:lang w:val="en-US"/>
        </w:rPr>
        <w:t xml:space="preserve">Producer </w:t>
      </w:r>
      <w:r w:rsidRPr="000D25B2">
        <w:rPr>
          <w:b w:val="0"/>
          <w:lang w:val="en-US"/>
        </w:rPr>
        <w:t>Price Ind</w:t>
      </w:r>
      <w:r w:rsidR="004C17CF" w:rsidRPr="000D25B2">
        <w:rPr>
          <w:b w:val="0"/>
          <w:lang w:val="en-US"/>
        </w:rPr>
        <w:t xml:space="preserve">ices, </w:t>
      </w:r>
      <w:r w:rsidR="00272D88" w:rsidRPr="000D25B2">
        <w:rPr>
          <w:b w:val="0"/>
          <w:lang w:val="en-US"/>
        </w:rPr>
        <w:br/>
      </w:r>
      <w:r w:rsidR="004C17CF" w:rsidRPr="000D25B2">
        <w:rPr>
          <w:b w:val="0"/>
          <w:lang w:val="en-US"/>
        </w:rPr>
        <w:t>including and e</w:t>
      </w:r>
      <w:r w:rsidR="0024405E" w:rsidRPr="000D25B2">
        <w:rPr>
          <w:b w:val="0"/>
          <w:lang w:val="en-US"/>
        </w:rPr>
        <w:t>xcluding China</w:t>
      </w:r>
    </w:p>
    <w:p w14:paraId="4BDEC944" w14:textId="2445D71C" w:rsidR="002F564E" w:rsidRPr="00657B6C" w:rsidRDefault="005352B2" w:rsidP="00657B6C">
      <w:pPr>
        <w:pStyle w:val="Grafik"/>
      </w:pPr>
      <w:r>
        <w:drawing>
          <wp:inline distT="0" distB="0" distL="0" distR="0" wp14:anchorId="708CADB2" wp14:editId="7F656A06">
            <wp:extent cx="6052185" cy="2904490"/>
            <wp:effectExtent l="0" t="0" r="5715" b="0"/>
            <wp:docPr id="361033133" name="Chart 1">
              <a:extLst xmlns:a="http://schemas.openxmlformats.org/drawingml/2006/main">
                <a:ext uri="{FF2B5EF4-FFF2-40B4-BE49-F238E27FC236}">
                  <a16:creationId xmlns:a16="http://schemas.microsoft.com/office/drawing/2014/main" id="{8AC69FAC-E845-45CF-A4B3-B0255C1BD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6"/>
    </w:p>
    <w:p w14:paraId="3B33B80C" w14:textId="39302237" w:rsidR="00845897" w:rsidRDefault="00845897" w:rsidP="00845897">
      <w:pPr>
        <w:pStyle w:val="Quelle"/>
        <w:spacing w:before="0" w:line="240" w:lineRule="auto"/>
        <w:ind w:left="709" w:hanging="709"/>
        <w:rPr>
          <w:i/>
          <w:iCs/>
          <w:szCs w:val="24"/>
          <w:lang w:val="en-GB"/>
        </w:rPr>
      </w:pPr>
      <w:r w:rsidRPr="008063C3">
        <w:rPr>
          <w:lang w:val="en-GB"/>
        </w:rPr>
        <w:t>Source:</w:t>
      </w:r>
      <w:r w:rsidRPr="008063C3">
        <w:rPr>
          <w:lang w:val="en-GB"/>
        </w:rPr>
        <w:tab/>
      </w:r>
      <w:proofErr w:type="spellStart"/>
      <w:r w:rsidRPr="00CB7A9C">
        <w:rPr>
          <w:i/>
          <w:iCs/>
          <w:lang w:val="en-GB"/>
        </w:rPr>
        <w:t>agri</w:t>
      </w:r>
      <w:proofErr w:type="spellEnd"/>
      <w:r w:rsidRPr="00CB7A9C">
        <w:rPr>
          <w:i/>
          <w:iCs/>
          <w:lang w:val="en-GB"/>
        </w:rPr>
        <w:t xml:space="preserve"> benchmark</w:t>
      </w:r>
      <w:r w:rsidRPr="00CE71D6">
        <w:rPr>
          <w:lang w:val="en-GB"/>
        </w:rPr>
        <w:t xml:space="preserve"> database, </w:t>
      </w:r>
      <w:r w:rsidRPr="000D25B2">
        <w:rPr>
          <w:lang w:val="en-US"/>
        </w:rPr>
        <w:t>202</w:t>
      </w:r>
      <w:r w:rsidRPr="00272D88">
        <w:rPr>
          <w:rFonts w:hint="cs"/>
          <w:szCs w:val="18"/>
          <w:rtl/>
        </w:rPr>
        <w:t>5</w:t>
      </w:r>
      <w:r>
        <w:rPr>
          <w:lang w:val="en-GB"/>
        </w:rPr>
        <w:t xml:space="preserve">. Own illustration. </w:t>
      </w:r>
      <w:r>
        <w:rPr>
          <w:i/>
          <w:iCs/>
          <w:szCs w:val="24"/>
          <w:lang w:val="en-GB"/>
        </w:rPr>
        <w:t xml:space="preserve">Sheep meat </w:t>
      </w:r>
      <w:r w:rsidRPr="00D352F3">
        <w:rPr>
          <w:i/>
          <w:iCs/>
          <w:szCs w:val="24"/>
          <w:lang w:val="en-GB"/>
        </w:rPr>
        <w:t xml:space="preserve">prices based on USD / kg </w:t>
      </w:r>
      <w:r>
        <w:rPr>
          <w:i/>
          <w:iCs/>
          <w:szCs w:val="24"/>
          <w:lang w:val="en-GB"/>
        </w:rPr>
        <w:t>carcass</w:t>
      </w:r>
      <w:r w:rsidRPr="00D352F3">
        <w:rPr>
          <w:i/>
          <w:iCs/>
          <w:szCs w:val="24"/>
          <w:lang w:val="en-GB"/>
        </w:rPr>
        <w:t xml:space="preserve"> weight</w:t>
      </w:r>
      <w:r>
        <w:rPr>
          <w:i/>
          <w:iCs/>
          <w:szCs w:val="24"/>
          <w:lang w:val="en-GB"/>
        </w:rPr>
        <w:t>.</w:t>
      </w:r>
    </w:p>
    <w:p w14:paraId="48C92AE7" w14:textId="77777777" w:rsidR="00C55639" w:rsidRPr="00C55639" w:rsidRDefault="00C55639" w:rsidP="00C55639">
      <w:pPr>
        <w:pStyle w:val="Quelle"/>
        <w:spacing w:before="0" w:line="240" w:lineRule="auto"/>
        <w:ind w:left="709" w:hanging="709"/>
        <w:rPr>
          <w:lang w:val="en-GB"/>
        </w:rPr>
      </w:pPr>
      <w:r w:rsidRPr="00220A48">
        <w:rPr>
          <w:lang w:val="en-GB"/>
        </w:rPr>
        <w:t>*2025 data represents January through June</w:t>
      </w:r>
      <w:r>
        <w:rPr>
          <w:lang w:val="en-GB"/>
        </w:rPr>
        <w:t>.</w:t>
      </w:r>
    </w:p>
    <w:p w14:paraId="52D616B9" w14:textId="0F914107" w:rsidR="00C631AA" w:rsidRPr="000D25B2" w:rsidRDefault="00D542F9" w:rsidP="00657B6C">
      <w:pPr>
        <w:pStyle w:val="NachAbbTab"/>
        <w:rPr>
          <w:lang w:val="en-US"/>
        </w:rPr>
      </w:pPr>
      <w:r w:rsidRPr="000F0B8D">
        <w:rPr>
          <w:lang w:val="en-GB"/>
        </w:rPr>
        <w:t>W</w:t>
      </w:r>
      <w:r w:rsidR="00C631AA" w:rsidRPr="000F0B8D">
        <w:rPr>
          <w:lang w:val="en-GB"/>
        </w:rPr>
        <w:t xml:space="preserve">hen China is included in the </w:t>
      </w:r>
      <w:r w:rsidR="0001510E" w:rsidRPr="000F0B8D">
        <w:rPr>
          <w:lang w:val="en-GB"/>
        </w:rPr>
        <w:t>Sheep Meat Price Index</w:t>
      </w:r>
      <w:r w:rsidR="00C631AA" w:rsidRPr="000F0B8D">
        <w:rPr>
          <w:lang w:val="en-GB"/>
        </w:rPr>
        <w:t xml:space="preserve"> it dominates the weighting, with a production share of 6</w:t>
      </w:r>
      <w:r w:rsidR="00F076F2" w:rsidRPr="000F0B8D">
        <w:rPr>
          <w:lang w:val="en-GB"/>
        </w:rPr>
        <w:t>0</w:t>
      </w:r>
      <w:r w:rsidR="00272D88">
        <w:rPr>
          <w:lang w:val="en-GB"/>
        </w:rPr>
        <w:t> </w:t>
      </w:r>
      <w:r w:rsidR="00870D14" w:rsidRPr="000F0B8D">
        <w:rPr>
          <w:lang w:val="en-GB"/>
        </w:rPr>
        <w:t>percent</w:t>
      </w:r>
      <w:r w:rsidR="00C631AA" w:rsidRPr="000F0B8D">
        <w:rPr>
          <w:lang w:val="en-GB"/>
        </w:rPr>
        <w:t xml:space="preserve"> in </w:t>
      </w:r>
      <w:r w:rsidR="00F076F2" w:rsidRPr="000F0B8D">
        <w:rPr>
          <w:lang w:val="en-GB"/>
        </w:rPr>
        <w:t>the base period</w:t>
      </w:r>
      <w:r w:rsidR="00C631AA" w:rsidRPr="000F0B8D">
        <w:rPr>
          <w:lang w:val="en-GB"/>
        </w:rPr>
        <w:t>, followed by Australia (</w:t>
      </w:r>
      <w:r w:rsidR="00707561" w:rsidRPr="000F0B8D">
        <w:rPr>
          <w:lang w:val="en-GB"/>
        </w:rPr>
        <w:t>10</w:t>
      </w:r>
      <w:r w:rsidR="00870D14">
        <w:rPr>
          <w:lang w:val="en-GB"/>
        </w:rPr>
        <w:t xml:space="preserve"> percent</w:t>
      </w:r>
      <w:r w:rsidR="00C631AA" w:rsidRPr="000F0B8D">
        <w:rPr>
          <w:lang w:val="en-GB"/>
        </w:rPr>
        <w:t>) and New Zealand (6</w:t>
      </w:r>
      <w:r w:rsidR="00870D14">
        <w:rPr>
          <w:lang w:val="en-GB"/>
        </w:rPr>
        <w:t xml:space="preserve"> percent</w:t>
      </w:r>
      <w:r w:rsidR="00C631AA" w:rsidRPr="000F0B8D">
        <w:rPr>
          <w:lang w:val="en-GB"/>
        </w:rPr>
        <w:t xml:space="preserve">). China’s production share has risen from </w:t>
      </w:r>
      <w:r w:rsidR="00177123" w:rsidRPr="000F0B8D">
        <w:rPr>
          <w:lang w:val="en-GB"/>
        </w:rPr>
        <w:t>4</w:t>
      </w:r>
      <w:r w:rsidRPr="000F0B8D">
        <w:rPr>
          <w:lang w:val="en-GB"/>
        </w:rPr>
        <w:t>6</w:t>
      </w:r>
      <w:r w:rsidR="00870D14" w:rsidRPr="000F0B8D">
        <w:rPr>
          <w:lang w:val="en-GB"/>
        </w:rPr>
        <w:t xml:space="preserve"> percent</w:t>
      </w:r>
      <w:r w:rsidR="00C631AA" w:rsidRPr="000F0B8D">
        <w:rPr>
          <w:lang w:val="en-GB"/>
        </w:rPr>
        <w:t xml:space="preserve"> in 200</w:t>
      </w:r>
      <w:r w:rsidR="00177123" w:rsidRPr="000F0B8D">
        <w:rPr>
          <w:lang w:val="en-GB"/>
        </w:rPr>
        <w:t>0</w:t>
      </w:r>
      <w:r w:rsidR="00C631AA" w:rsidRPr="000F0B8D">
        <w:rPr>
          <w:lang w:val="en-GB"/>
        </w:rPr>
        <w:t xml:space="preserve">, with commensurate falls in the shares of all other major producers. </w:t>
      </w:r>
      <w:r w:rsidR="00C631AA" w:rsidRPr="000D25B2">
        <w:rPr>
          <w:lang w:val="en-US"/>
        </w:rPr>
        <w:t>In the past 15 years, China’s sheep meat demand growth has accelerated</w:t>
      </w:r>
      <w:r w:rsidR="00DC1321" w:rsidRPr="000D25B2">
        <w:rPr>
          <w:lang w:val="en-US"/>
        </w:rPr>
        <w:t>,</w:t>
      </w:r>
      <w:r w:rsidR="00C631AA" w:rsidRPr="000D25B2">
        <w:rPr>
          <w:lang w:val="en-US"/>
        </w:rPr>
        <w:t xml:space="preserve"> but local production growth has slowed, causing a rapid rise in China’s lambs and sheep prices – to be one of the highest in the worl</w:t>
      </w:r>
      <w:r w:rsidRPr="000D25B2">
        <w:rPr>
          <w:lang w:val="en-US"/>
        </w:rPr>
        <w:t>d. Hence, if China is included</w:t>
      </w:r>
      <w:r w:rsidR="00C631AA" w:rsidRPr="000D25B2">
        <w:rPr>
          <w:lang w:val="en-US"/>
        </w:rPr>
        <w:t xml:space="preserve">, the </w:t>
      </w:r>
      <w:r w:rsidR="00DC1321" w:rsidRPr="000D25B2">
        <w:rPr>
          <w:lang w:val="en-US"/>
        </w:rPr>
        <w:t>i</w:t>
      </w:r>
      <w:r w:rsidR="00C631AA" w:rsidRPr="000D25B2">
        <w:rPr>
          <w:lang w:val="en-US"/>
        </w:rPr>
        <w:t>ndex keeps rising beyond 2011 to peak in 2014</w:t>
      </w:r>
      <w:r w:rsidR="006C2C2B" w:rsidRPr="000D25B2">
        <w:rPr>
          <w:lang w:val="en-US"/>
        </w:rPr>
        <w:t xml:space="preserve"> a</w:t>
      </w:r>
      <w:r w:rsidR="00C631AA" w:rsidRPr="000D25B2">
        <w:rPr>
          <w:lang w:val="en-US"/>
        </w:rPr>
        <w:t xml:space="preserve">nd </w:t>
      </w:r>
      <w:r w:rsidR="002208EC" w:rsidRPr="000D25B2">
        <w:rPr>
          <w:lang w:val="en-US"/>
        </w:rPr>
        <w:t xml:space="preserve">has risen much more than the </w:t>
      </w:r>
      <w:r w:rsidRPr="000D25B2">
        <w:rPr>
          <w:lang w:val="en-US"/>
        </w:rPr>
        <w:t>index</w:t>
      </w:r>
      <w:r w:rsidR="002208EC" w:rsidRPr="000D25B2">
        <w:rPr>
          <w:lang w:val="en-US"/>
        </w:rPr>
        <w:t xml:space="preserve"> </w:t>
      </w:r>
      <w:r w:rsidR="0090288D" w:rsidRPr="000D25B2">
        <w:rPr>
          <w:lang w:val="en-US"/>
        </w:rPr>
        <w:t>excluding China since 20</w:t>
      </w:r>
      <w:r w:rsidRPr="000D25B2">
        <w:rPr>
          <w:lang w:val="en-US"/>
        </w:rPr>
        <w:t>17.</w:t>
      </w:r>
    </w:p>
    <w:p w14:paraId="153022FE" w14:textId="41F9E4F7" w:rsidR="00433FC2" w:rsidRPr="000D25B2" w:rsidRDefault="003343FA" w:rsidP="00843AB4">
      <w:pPr>
        <w:spacing w:before="120" w:after="120" w:line="276" w:lineRule="auto"/>
        <w:rPr>
          <w:lang w:val="en-US"/>
        </w:rPr>
      </w:pPr>
      <w:r w:rsidRPr="000D25B2">
        <w:rPr>
          <w:lang w:val="en-US"/>
        </w:rPr>
        <w:t xml:space="preserve">Both versions of the index recorded year-on-year declines in 2022 and 2023. However, in </w:t>
      </w:r>
      <w:bookmarkStart w:id="7" w:name="_Hlk211110989"/>
      <w:r w:rsidRPr="000D25B2">
        <w:rPr>
          <w:lang w:val="en-US"/>
        </w:rPr>
        <w:t>2024–2025</w:t>
      </w:r>
      <w:bookmarkEnd w:id="7"/>
      <w:r w:rsidRPr="000D25B2">
        <w:rPr>
          <w:lang w:val="en-US"/>
        </w:rPr>
        <w:t>, the index excluding China rose sharply in line with lamb price trends, while the China-inclusive index remained largely stable, reflecting declining domestic prices</w:t>
      </w:r>
      <w:r w:rsidR="00433FC2" w:rsidRPr="000D25B2">
        <w:rPr>
          <w:lang w:val="en-US"/>
        </w:rPr>
        <w:t>.</w:t>
      </w:r>
    </w:p>
    <w:p w14:paraId="710C3187" w14:textId="717520C1" w:rsidR="008E1FC9" w:rsidRPr="000F0B8D" w:rsidRDefault="003343FA" w:rsidP="00843AB4">
      <w:pPr>
        <w:spacing w:before="120" w:after="120" w:line="276" w:lineRule="auto"/>
        <w:rPr>
          <w:lang w:val="en-GB"/>
        </w:rPr>
      </w:pPr>
      <w:r w:rsidRPr="000D25B2">
        <w:rPr>
          <w:lang w:val="en-US"/>
        </w:rPr>
        <w:t>By 2025, sheep meat prices in China had reached their lowest level since 2018, largely due to abundant protein supplies and consumer shifts toward cheaper meats</w:t>
      </w:r>
      <w:r w:rsidRPr="000D25B2">
        <w:rPr>
          <w:lang w:val="en-US"/>
        </w:rPr>
        <w:tab/>
      </w:r>
      <w:r w:rsidRPr="000D25B2">
        <w:rPr>
          <w:szCs w:val="24"/>
          <w:lang w:val="en-US"/>
        </w:rPr>
        <w:t xml:space="preserve">. </w:t>
      </w:r>
      <w:r w:rsidRPr="000F0B8D">
        <w:rPr>
          <w:szCs w:val="24"/>
          <w:lang w:val="en-GB"/>
        </w:rPr>
        <w:t>Per capita sheep meat consumption fell by 2</w:t>
      </w:r>
      <w:r w:rsidR="00870D14" w:rsidRPr="000F0B8D">
        <w:rPr>
          <w:szCs w:val="24"/>
          <w:lang w:val="en-GB"/>
        </w:rPr>
        <w:t xml:space="preserve"> percent</w:t>
      </w:r>
      <w:r w:rsidRPr="000F0B8D">
        <w:rPr>
          <w:szCs w:val="24"/>
          <w:lang w:val="en-GB"/>
        </w:rPr>
        <w:t xml:space="preserve"> year-on-year in 2024 and was 4</w:t>
      </w:r>
      <w:r w:rsidR="00870D14">
        <w:rPr>
          <w:szCs w:val="24"/>
          <w:lang w:val="en-GB"/>
        </w:rPr>
        <w:t xml:space="preserve"> percent</w:t>
      </w:r>
      <w:r w:rsidRPr="000F0B8D">
        <w:rPr>
          <w:szCs w:val="24"/>
          <w:lang w:val="en-GB"/>
        </w:rPr>
        <w:t xml:space="preserve"> below the five-year average. </w:t>
      </w:r>
    </w:p>
    <w:p w14:paraId="2089F614" w14:textId="1D233182" w:rsidR="003A211C" w:rsidRPr="000D25B2" w:rsidRDefault="00721088" w:rsidP="003A211C">
      <w:pPr>
        <w:spacing w:before="120" w:after="120" w:line="276" w:lineRule="auto"/>
        <w:rPr>
          <w:lang w:val="en-US"/>
        </w:rPr>
      </w:pPr>
      <w:r w:rsidRPr="000F0B8D">
        <w:rPr>
          <w:lang w:val="en-GB"/>
        </w:rPr>
        <w:t xml:space="preserve">Per capita consumption of sheep meat in China </w:t>
      </w:r>
      <w:r w:rsidR="004E0551" w:rsidRPr="000F0B8D">
        <w:rPr>
          <w:lang w:val="en-GB"/>
        </w:rPr>
        <w:t xml:space="preserve">in 2024 </w:t>
      </w:r>
      <w:r w:rsidR="008E1FC9" w:rsidRPr="000F0B8D">
        <w:rPr>
          <w:lang w:val="en-GB"/>
        </w:rPr>
        <w:t xml:space="preserve">went </w:t>
      </w:r>
      <w:r w:rsidR="004E0551" w:rsidRPr="000F0B8D">
        <w:rPr>
          <w:lang w:val="en-GB"/>
        </w:rPr>
        <w:t>down</w:t>
      </w:r>
      <w:r w:rsidR="008E1FC9" w:rsidRPr="000F0B8D">
        <w:rPr>
          <w:lang w:val="en-GB"/>
        </w:rPr>
        <w:t xml:space="preserve"> by </w:t>
      </w:r>
      <w:r w:rsidR="004E0551" w:rsidRPr="000F0B8D">
        <w:rPr>
          <w:lang w:val="en-GB"/>
        </w:rPr>
        <w:t>2</w:t>
      </w:r>
      <w:r w:rsidR="00870D14" w:rsidRPr="000F0B8D">
        <w:rPr>
          <w:lang w:val="en-GB"/>
        </w:rPr>
        <w:t xml:space="preserve"> percent</w:t>
      </w:r>
      <w:r w:rsidR="004E0551" w:rsidRPr="000F0B8D">
        <w:rPr>
          <w:lang w:val="en-GB"/>
        </w:rPr>
        <w:t xml:space="preserve"> year-on-year and 4</w:t>
      </w:r>
      <w:r w:rsidR="00870D14">
        <w:rPr>
          <w:lang w:val="en-GB"/>
        </w:rPr>
        <w:t xml:space="preserve"> percent</w:t>
      </w:r>
      <w:r w:rsidR="004E0551" w:rsidRPr="000F0B8D">
        <w:rPr>
          <w:lang w:val="en-GB"/>
        </w:rPr>
        <w:t xml:space="preserve"> below the five-year average.</w:t>
      </w:r>
      <w:r w:rsidR="00926384" w:rsidRPr="000F0B8D">
        <w:rPr>
          <w:lang w:val="en-GB"/>
        </w:rPr>
        <w:t xml:space="preserve"> </w:t>
      </w:r>
      <w:r w:rsidR="003343FA" w:rsidRPr="000D25B2">
        <w:rPr>
          <w:lang w:val="en-US"/>
        </w:rPr>
        <w:t>Economic headwinds such as a weak housing market, high youth unemployment, declining foreign investment, and rural banking instability have continued to constrain consumer spending, prompting substitution toward lower-priced pork and poultry.</w:t>
      </w:r>
      <w:r w:rsidR="003A211C" w:rsidRPr="003A211C">
        <w:rPr>
          <w:lang w:val="en-GB"/>
        </w:rPr>
        <w:br w:type="page"/>
      </w:r>
    </w:p>
    <w:p w14:paraId="7C8310DC" w14:textId="48D4A34F" w:rsidR="00AF1477" w:rsidRDefault="00AF1477" w:rsidP="00657B6C">
      <w:pPr>
        <w:pStyle w:val="berschrift1"/>
        <w:ind w:right="-108"/>
        <w:rPr>
          <w:lang w:val="en-GB"/>
        </w:rPr>
      </w:pPr>
      <w:r w:rsidRPr="00BA5853">
        <w:rPr>
          <w:lang w:val="en-GB"/>
        </w:rPr>
        <w:lastRenderedPageBreak/>
        <w:tab/>
      </w:r>
      <w:r w:rsidR="003343FA">
        <w:rPr>
          <w:lang w:val="en-GB"/>
        </w:rPr>
        <w:t xml:space="preserve">Updated Summary of the </w:t>
      </w:r>
      <w:proofErr w:type="spellStart"/>
      <w:r w:rsidRPr="009F3143">
        <w:rPr>
          <w:i/>
          <w:iCs/>
          <w:lang w:val="en-GB"/>
        </w:rPr>
        <w:t>agri</w:t>
      </w:r>
      <w:proofErr w:type="spellEnd"/>
      <w:r w:rsidRPr="009F3143">
        <w:rPr>
          <w:i/>
          <w:iCs/>
          <w:lang w:val="en-GB"/>
        </w:rPr>
        <w:t xml:space="preserve"> benchmark</w:t>
      </w:r>
      <w:r>
        <w:rPr>
          <w:lang w:val="en-GB"/>
        </w:rPr>
        <w:t xml:space="preserve"> Global Producer Price Indices</w:t>
      </w:r>
      <w:r w:rsidR="00864A26">
        <w:rPr>
          <w:lang w:val="en-GB"/>
        </w:rPr>
        <w:t>,</w:t>
      </w:r>
      <w:r w:rsidR="003343FA">
        <w:rPr>
          <w:lang w:val="en-GB"/>
        </w:rPr>
        <w:t xml:space="preserve"> </w:t>
      </w:r>
      <w:r w:rsidR="00864A26" w:rsidRPr="00864A26">
        <w:rPr>
          <w:lang w:val="en-GB"/>
        </w:rPr>
        <w:t>2024</w:t>
      </w:r>
      <w:r w:rsidR="00864A26">
        <w:rPr>
          <w:lang w:val="en-GB"/>
        </w:rPr>
        <w:t xml:space="preserve"> </w:t>
      </w:r>
      <w:r w:rsidR="00864A26" w:rsidRPr="00864A26">
        <w:rPr>
          <w:lang w:val="en-GB"/>
        </w:rPr>
        <w:t>–</w:t>
      </w:r>
      <w:r w:rsidR="00864A26">
        <w:rPr>
          <w:lang w:val="en-GB"/>
        </w:rPr>
        <w:t xml:space="preserve"> </w:t>
      </w:r>
      <w:r w:rsidR="00864A26" w:rsidRPr="00864A26">
        <w:rPr>
          <w:lang w:val="en-GB"/>
        </w:rPr>
        <w:t>2025</w:t>
      </w:r>
    </w:p>
    <w:p w14:paraId="05DE4A5A" w14:textId="03521596" w:rsidR="0033397E" w:rsidRPr="004412C9" w:rsidRDefault="0033397E" w:rsidP="0033397E">
      <w:pPr>
        <w:pStyle w:val="berschrift2"/>
        <w:spacing w:before="240"/>
        <w:jc w:val="both"/>
        <w:rPr>
          <w:rtl/>
          <w:lang w:val="en-GB"/>
        </w:rPr>
      </w:pPr>
      <w:r>
        <w:rPr>
          <w:lang w:val="en-GB"/>
        </w:rPr>
        <w:tab/>
      </w:r>
      <w:r w:rsidRPr="004412C9">
        <w:rPr>
          <w:lang w:val="en-GB"/>
        </w:rPr>
        <w:t xml:space="preserve">The Finished Cattle </w:t>
      </w:r>
      <w:r>
        <w:rPr>
          <w:lang w:val="en-GB"/>
        </w:rPr>
        <w:t xml:space="preserve">and Weaner Cattle </w:t>
      </w:r>
      <w:r w:rsidRPr="004412C9">
        <w:rPr>
          <w:lang w:val="en-GB"/>
        </w:rPr>
        <w:t>Price Ind</w:t>
      </w:r>
      <w:r w:rsidR="00864A26">
        <w:rPr>
          <w:lang w:val="en-GB"/>
        </w:rPr>
        <w:t>ices</w:t>
      </w:r>
    </w:p>
    <w:p w14:paraId="1D675529" w14:textId="28464C79" w:rsidR="0033397E" w:rsidRPr="000D25B2" w:rsidRDefault="00864A26" w:rsidP="00657B6C">
      <w:pPr>
        <w:pStyle w:val="Liste-1"/>
        <w:rPr>
          <w:lang w:val="en-US"/>
        </w:rPr>
      </w:pPr>
      <w:r w:rsidRPr="000D25B2">
        <w:rPr>
          <w:b/>
          <w:bCs/>
          <w:lang w:val="en-US"/>
        </w:rPr>
        <w:t>W</w:t>
      </w:r>
      <w:r w:rsidR="0033397E" w:rsidRPr="000D25B2">
        <w:rPr>
          <w:b/>
          <w:bCs/>
          <w:lang w:val="en-US"/>
        </w:rPr>
        <w:t xml:space="preserve">orld producer prices </w:t>
      </w:r>
      <w:r w:rsidRPr="000D25B2">
        <w:rPr>
          <w:b/>
          <w:bCs/>
          <w:lang w:val="en-US"/>
        </w:rPr>
        <w:t>remained elevated in 2024–2025</w:t>
      </w:r>
      <w:r w:rsidRPr="000D25B2">
        <w:rPr>
          <w:lang w:val="en-US"/>
        </w:rPr>
        <w:t xml:space="preserve">, primarily driven by robust demand and reduced production in North America and </w:t>
      </w:r>
      <w:r w:rsidR="00BE72ED" w:rsidRPr="000D25B2">
        <w:rPr>
          <w:lang w:val="en-US"/>
        </w:rPr>
        <w:t>the EU</w:t>
      </w:r>
      <w:r w:rsidR="00845897">
        <w:rPr>
          <w:lang w:val="en-US"/>
        </w:rPr>
        <w:t>.</w:t>
      </w:r>
    </w:p>
    <w:p w14:paraId="636163A1" w14:textId="2BF08B0F" w:rsidR="0033397E" w:rsidRPr="000D25B2" w:rsidRDefault="00990205" w:rsidP="00657B6C">
      <w:pPr>
        <w:pStyle w:val="Liste-1"/>
        <w:rPr>
          <w:lang w:val="en-US"/>
        </w:rPr>
      </w:pPr>
      <w:r w:rsidRPr="000D25B2">
        <w:rPr>
          <w:b/>
          <w:bCs/>
          <w:lang w:val="en-US"/>
        </w:rPr>
        <w:t>The contraction of US cattle inventories</w:t>
      </w:r>
      <w:r w:rsidRPr="000D25B2">
        <w:rPr>
          <w:lang w:val="en-US"/>
        </w:rPr>
        <w:t xml:space="preserve"> and the approaching herd-rebuilding </w:t>
      </w:r>
      <w:r w:rsidR="00222CE9" w:rsidRPr="000D25B2">
        <w:rPr>
          <w:lang w:val="en-US"/>
        </w:rPr>
        <w:t xml:space="preserve">have intensified import demand, exerting upward pressure on global beef prices, </w:t>
      </w:r>
      <w:r w:rsidRPr="000D25B2">
        <w:rPr>
          <w:lang w:val="en-US"/>
        </w:rPr>
        <w:t xml:space="preserve">a trend </w:t>
      </w:r>
      <w:r w:rsidR="00222CE9" w:rsidRPr="000D25B2">
        <w:rPr>
          <w:lang w:val="en-US"/>
        </w:rPr>
        <w:t>expected</w:t>
      </w:r>
      <w:r w:rsidRPr="000D25B2">
        <w:rPr>
          <w:lang w:val="en-US"/>
        </w:rPr>
        <w:t xml:space="preserve"> to continue through 2025–202</w:t>
      </w:r>
      <w:r w:rsidR="00222CE9" w:rsidRPr="000D25B2">
        <w:rPr>
          <w:lang w:val="en-US"/>
        </w:rPr>
        <w:t>6</w:t>
      </w:r>
      <w:r w:rsidR="00845897">
        <w:rPr>
          <w:lang w:val="en-US"/>
        </w:rPr>
        <w:t>.</w:t>
      </w:r>
    </w:p>
    <w:p w14:paraId="3A0F2817" w14:textId="24EE501E" w:rsidR="007E6F34" w:rsidRPr="000D25B2" w:rsidRDefault="00864A26" w:rsidP="00657B6C">
      <w:pPr>
        <w:pStyle w:val="Liste-1"/>
        <w:rPr>
          <w:lang w:val="en-US"/>
        </w:rPr>
      </w:pPr>
      <w:r w:rsidRPr="000D25B2">
        <w:rPr>
          <w:b/>
          <w:bCs/>
          <w:lang w:val="en-US"/>
        </w:rPr>
        <w:t>China’s beef prices weakened</w:t>
      </w:r>
      <w:r w:rsidRPr="000D25B2">
        <w:rPr>
          <w:lang w:val="en-US"/>
        </w:rPr>
        <w:t xml:space="preserve"> due to an oversupply of animal protein, stemming from high domestic production of beef, pork, and poultry, alongside record beef imports from South America</w:t>
      </w:r>
      <w:r w:rsidR="00845897">
        <w:rPr>
          <w:lang w:val="en-US"/>
        </w:rPr>
        <w:t>.</w:t>
      </w:r>
    </w:p>
    <w:p w14:paraId="1FD270FF" w14:textId="65844BAA" w:rsidR="0033397E" w:rsidRPr="000D25B2" w:rsidRDefault="007E6F34" w:rsidP="00657B6C">
      <w:pPr>
        <w:pStyle w:val="Liste-1"/>
        <w:rPr>
          <w:lang w:val="en-US"/>
        </w:rPr>
      </w:pPr>
      <w:r w:rsidRPr="000D25B2">
        <w:rPr>
          <w:b/>
          <w:bCs/>
          <w:lang w:val="en-US"/>
        </w:rPr>
        <w:t xml:space="preserve">Stricter environmental and sustainability regulations in </w:t>
      </w:r>
      <w:r w:rsidR="00BE72ED" w:rsidRPr="000D25B2">
        <w:rPr>
          <w:b/>
          <w:bCs/>
          <w:lang w:val="en-US"/>
        </w:rPr>
        <w:t>the EU</w:t>
      </w:r>
      <w:r w:rsidRPr="000D25B2">
        <w:rPr>
          <w:lang w:val="en-US"/>
        </w:rPr>
        <w:t xml:space="preserve"> have contributed to constrained beef supply and increased production costs</w:t>
      </w:r>
      <w:r w:rsidR="00845897">
        <w:rPr>
          <w:lang w:val="en-US"/>
        </w:rPr>
        <w:t>.</w:t>
      </w:r>
    </w:p>
    <w:p w14:paraId="6033A9D1" w14:textId="1F579E83" w:rsidR="007E6F34" w:rsidRPr="000D25B2" w:rsidRDefault="007E6F34" w:rsidP="00657B6C">
      <w:pPr>
        <w:pStyle w:val="Liste-1"/>
        <w:rPr>
          <w:lang w:val="en-US"/>
        </w:rPr>
      </w:pPr>
      <w:r w:rsidRPr="000D25B2">
        <w:rPr>
          <w:b/>
          <w:bCs/>
          <w:lang w:val="en-US"/>
        </w:rPr>
        <w:t>Australian cattle prices have continued to fluctuate significantly,</w:t>
      </w:r>
      <w:r w:rsidRPr="000D25B2">
        <w:rPr>
          <w:lang w:val="en-US"/>
        </w:rPr>
        <w:t xml:space="preserve"> reflecting the effects of climatic variability on supply</w:t>
      </w:r>
      <w:r w:rsidR="00845897">
        <w:rPr>
          <w:lang w:val="en-US"/>
        </w:rPr>
        <w:t>.</w:t>
      </w:r>
    </w:p>
    <w:p w14:paraId="0E25EACB" w14:textId="7F68D4B0" w:rsidR="007745A2" w:rsidRPr="000D25B2" w:rsidRDefault="007E6F34" w:rsidP="00657B6C">
      <w:pPr>
        <w:pStyle w:val="Liste-1"/>
        <w:rPr>
          <w:lang w:val="en-US"/>
        </w:rPr>
      </w:pPr>
      <w:r w:rsidRPr="000D25B2">
        <w:rPr>
          <w:b/>
          <w:bCs/>
          <w:lang w:val="en-US"/>
        </w:rPr>
        <w:t>Tightening South American supply and exports</w:t>
      </w:r>
      <w:r w:rsidRPr="000D25B2">
        <w:rPr>
          <w:lang w:val="en-US"/>
        </w:rPr>
        <w:t xml:space="preserve"> constraints are anticipated to further strengthen global cattle prices</w:t>
      </w:r>
      <w:r w:rsidR="00845897">
        <w:rPr>
          <w:lang w:val="en-US"/>
        </w:rPr>
        <w:t>.</w:t>
      </w:r>
    </w:p>
    <w:p w14:paraId="4D136ED0" w14:textId="74B41ADB" w:rsidR="0033397E" w:rsidRPr="004412C9" w:rsidRDefault="0033397E" w:rsidP="0033397E">
      <w:pPr>
        <w:pStyle w:val="berschrift2"/>
        <w:spacing w:before="240"/>
        <w:jc w:val="both"/>
        <w:rPr>
          <w:rtl/>
          <w:lang w:val="en-GB"/>
        </w:rPr>
      </w:pPr>
      <w:r>
        <w:rPr>
          <w:lang w:val="en-GB"/>
        </w:rPr>
        <w:tab/>
      </w:r>
      <w:r w:rsidRPr="004412C9">
        <w:rPr>
          <w:lang w:val="en-GB"/>
        </w:rPr>
        <w:t xml:space="preserve">The </w:t>
      </w:r>
      <w:r>
        <w:rPr>
          <w:lang w:val="en-GB"/>
        </w:rPr>
        <w:t>Lambs and Sheep Meat Price Indices</w:t>
      </w:r>
      <w:r>
        <w:rPr>
          <w:lang w:val="en-GB"/>
        </w:rPr>
        <w:tab/>
      </w:r>
    </w:p>
    <w:p w14:paraId="08545D51" w14:textId="73B4609E" w:rsidR="003343FA" w:rsidRPr="000D25B2" w:rsidRDefault="007E6F34" w:rsidP="00657B6C">
      <w:pPr>
        <w:pStyle w:val="Liste-1"/>
        <w:rPr>
          <w:lang w:val="en-US"/>
        </w:rPr>
      </w:pPr>
      <w:r w:rsidRPr="000D25B2">
        <w:rPr>
          <w:b/>
          <w:bCs/>
          <w:lang w:val="en-US"/>
        </w:rPr>
        <w:t>Sheep meat prices reached record or near-record levels</w:t>
      </w:r>
      <w:r w:rsidRPr="000D25B2">
        <w:rPr>
          <w:lang w:val="en-US"/>
        </w:rPr>
        <w:t xml:space="preserve"> across most regions during 2024–2025, except in China, where prices declined amid slower economic growth, recovery of the pig sector, and ample poultry supply</w:t>
      </w:r>
      <w:r w:rsidR="00845897">
        <w:rPr>
          <w:lang w:val="en-US"/>
        </w:rPr>
        <w:t>.</w:t>
      </w:r>
    </w:p>
    <w:p w14:paraId="5766A388" w14:textId="69EB70D3" w:rsidR="003343FA" w:rsidRPr="000D25B2" w:rsidRDefault="00222CE9" w:rsidP="00657B6C">
      <w:pPr>
        <w:pStyle w:val="Liste-1"/>
        <w:rPr>
          <w:lang w:val="en-US"/>
        </w:rPr>
      </w:pPr>
      <w:r w:rsidRPr="000D25B2">
        <w:rPr>
          <w:b/>
          <w:bCs/>
          <w:lang w:val="en-US"/>
        </w:rPr>
        <w:t>Sheep meat prices i</w:t>
      </w:r>
      <w:r w:rsidR="007E6F34" w:rsidRPr="000D25B2">
        <w:rPr>
          <w:b/>
          <w:bCs/>
          <w:lang w:val="en-US"/>
        </w:rPr>
        <w:t xml:space="preserve">n Europe </w:t>
      </w:r>
      <w:r w:rsidRPr="000D25B2">
        <w:rPr>
          <w:b/>
          <w:bCs/>
          <w:lang w:val="en-US"/>
        </w:rPr>
        <w:t xml:space="preserve">have recovered </w:t>
      </w:r>
      <w:r w:rsidR="007E6F34" w:rsidRPr="000D25B2">
        <w:rPr>
          <w:lang w:val="en-US"/>
        </w:rPr>
        <w:t xml:space="preserve">as local production fell, while </w:t>
      </w:r>
      <w:r w:rsidR="007E6F34" w:rsidRPr="000D25B2">
        <w:rPr>
          <w:b/>
          <w:bCs/>
          <w:lang w:val="en-US"/>
        </w:rPr>
        <w:t xml:space="preserve">strong demand in the </w:t>
      </w:r>
      <w:r w:rsidRPr="000D25B2">
        <w:rPr>
          <w:b/>
          <w:bCs/>
          <w:lang w:val="en-US"/>
        </w:rPr>
        <w:t>MENA</w:t>
      </w:r>
      <w:r w:rsidR="007E6F34" w:rsidRPr="000D25B2">
        <w:rPr>
          <w:b/>
          <w:bCs/>
          <w:lang w:val="en-US"/>
        </w:rPr>
        <w:t xml:space="preserve">, the EU, the UK, and the </w:t>
      </w:r>
      <w:r w:rsidRPr="000D25B2">
        <w:rPr>
          <w:b/>
          <w:bCs/>
          <w:lang w:val="en-US"/>
        </w:rPr>
        <w:t>US</w:t>
      </w:r>
      <w:r w:rsidR="007E6F34" w:rsidRPr="000D25B2">
        <w:rPr>
          <w:lang w:val="en-US"/>
        </w:rPr>
        <w:t xml:space="preserve"> States offset China’s market weakness</w:t>
      </w:r>
      <w:r w:rsidR="00845897">
        <w:rPr>
          <w:lang w:val="en-US"/>
        </w:rPr>
        <w:t>.</w:t>
      </w:r>
    </w:p>
    <w:p w14:paraId="3BCE200C" w14:textId="0854505B" w:rsidR="00990205" w:rsidRPr="000D25B2" w:rsidRDefault="00990205" w:rsidP="00657B6C">
      <w:pPr>
        <w:pStyle w:val="Liste-1"/>
        <w:rPr>
          <w:lang w:val="en-US"/>
        </w:rPr>
      </w:pPr>
      <w:r w:rsidRPr="000D25B2">
        <w:rPr>
          <w:lang w:val="en-US"/>
        </w:rPr>
        <w:t xml:space="preserve">Despite </w:t>
      </w:r>
      <w:r w:rsidRPr="000D25B2">
        <w:rPr>
          <w:b/>
          <w:bCs/>
          <w:lang w:val="en-US"/>
        </w:rPr>
        <w:t>abundant supplies in Australia and New Zealand</w:t>
      </w:r>
      <w:r w:rsidRPr="000D25B2">
        <w:rPr>
          <w:lang w:val="en-US"/>
        </w:rPr>
        <w:t xml:space="preserve">, </w:t>
      </w:r>
      <w:r w:rsidR="00222CE9" w:rsidRPr="000D25B2">
        <w:rPr>
          <w:lang w:val="en-US"/>
        </w:rPr>
        <w:t>strong global</w:t>
      </w:r>
      <w:r w:rsidRPr="000D25B2">
        <w:rPr>
          <w:lang w:val="en-US"/>
        </w:rPr>
        <w:t xml:space="preserve"> demand sustained historically high price levels</w:t>
      </w:r>
      <w:r w:rsidR="00845897">
        <w:rPr>
          <w:lang w:val="en-US"/>
        </w:rPr>
        <w:t>.</w:t>
      </w:r>
    </w:p>
    <w:p w14:paraId="25798BBE" w14:textId="259B76A5" w:rsidR="007745A2" w:rsidRPr="000D25B2" w:rsidRDefault="00990205" w:rsidP="00657B6C">
      <w:pPr>
        <w:pStyle w:val="Liste-1"/>
        <w:rPr>
          <w:lang w:val="en-US"/>
        </w:rPr>
      </w:pPr>
      <w:r w:rsidRPr="000D25B2">
        <w:rPr>
          <w:b/>
          <w:bCs/>
          <w:lang w:val="en-US"/>
        </w:rPr>
        <w:t>Climate extremes</w:t>
      </w:r>
      <w:r w:rsidRPr="000D25B2">
        <w:rPr>
          <w:lang w:val="en-US"/>
        </w:rPr>
        <w:t xml:space="preserve"> continued to disrupt production, particularly in the Middle East (notably Iran), North Africa (Morocco and Algeria), Australia, the U</w:t>
      </w:r>
      <w:r w:rsidR="00222CE9" w:rsidRPr="000D25B2">
        <w:rPr>
          <w:lang w:val="en-US"/>
        </w:rPr>
        <w:t>S</w:t>
      </w:r>
      <w:r w:rsidRPr="000D25B2">
        <w:rPr>
          <w:lang w:val="en-US"/>
        </w:rPr>
        <w:t>, and parts of Europe (France and the UK)</w:t>
      </w:r>
      <w:r w:rsidR="00845897">
        <w:rPr>
          <w:lang w:val="en-US"/>
        </w:rPr>
        <w:t>.</w:t>
      </w:r>
    </w:p>
    <w:sectPr w:rsidR="007745A2" w:rsidRPr="000D25B2" w:rsidSect="005A060E">
      <w:headerReference w:type="default" r:id="rId15"/>
      <w:footerReference w:type="default" r:id="rId16"/>
      <w:pgSz w:w="11913" w:h="16834" w:code="9"/>
      <w:pgMar w:top="1418" w:right="1191" w:bottom="1418" w:left="1191" w:header="567"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205CE" w14:textId="77777777" w:rsidR="004176B5" w:rsidRDefault="004176B5">
      <w:r>
        <w:separator/>
      </w:r>
    </w:p>
    <w:p w14:paraId="479566C2" w14:textId="77777777" w:rsidR="004176B5" w:rsidRDefault="004176B5"/>
  </w:endnote>
  <w:endnote w:type="continuationSeparator" w:id="0">
    <w:p w14:paraId="4DC89DA8" w14:textId="77777777" w:rsidR="004176B5" w:rsidRDefault="004176B5">
      <w:r>
        <w:continuationSeparator/>
      </w:r>
    </w:p>
    <w:p w14:paraId="2455157E" w14:textId="77777777" w:rsidR="004176B5" w:rsidRDefault="004176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B2C0" w14:textId="77777777" w:rsidR="005A7542" w:rsidRDefault="005A75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6E3E6" w14:textId="77777777" w:rsidR="004176B5" w:rsidRDefault="004176B5">
      <w:r>
        <w:separator/>
      </w:r>
    </w:p>
  </w:footnote>
  <w:footnote w:type="continuationSeparator" w:id="0">
    <w:p w14:paraId="4ED3E4E6" w14:textId="77777777" w:rsidR="004176B5" w:rsidRDefault="004176B5">
      <w:r>
        <w:continuationSeparator/>
      </w:r>
    </w:p>
    <w:p w14:paraId="32012864" w14:textId="77777777" w:rsidR="004176B5" w:rsidRDefault="004176B5"/>
  </w:footnote>
  <w:footnote w:id="1">
    <w:p w14:paraId="0F1FF790" w14:textId="72495609" w:rsidR="00D912A3" w:rsidRPr="000D25B2" w:rsidRDefault="00D912A3" w:rsidP="00D912A3">
      <w:pPr>
        <w:pStyle w:val="Funotentext"/>
        <w:rPr>
          <w:lang w:val="en-US"/>
        </w:rPr>
      </w:pPr>
      <w:r>
        <w:rPr>
          <w:rStyle w:val="Funotenzeichen"/>
        </w:rPr>
        <w:footnoteRef/>
      </w:r>
      <w:r w:rsidR="00657B6C" w:rsidRPr="000D25B2">
        <w:rPr>
          <w:lang w:val="en-US"/>
        </w:rPr>
        <w:tab/>
      </w:r>
      <w:r w:rsidRPr="000D25B2">
        <w:rPr>
          <w:lang w:val="en-US"/>
        </w:rPr>
        <w:t xml:space="preserve">For </w:t>
      </w:r>
      <w:r>
        <w:rPr>
          <w:lang w:val="en-GB"/>
        </w:rPr>
        <w:t xml:space="preserve">detailed information of how the </w:t>
      </w:r>
      <w:r w:rsidRPr="000D25B2">
        <w:rPr>
          <w:rFonts w:eastAsia="Calibri" w:cs="Arial"/>
          <w:lang w:val="en-US"/>
        </w:rPr>
        <w:t>Laspeyres approach has been used to calculate the indices, please see Almadani, et al. 2021 at:</w:t>
      </w:r>
      <w:r>
        <w:rPr>
          <w:lang w:val="en-GB"/>
        </w:rPr>
        <w:t xml:space="preserve"> “</w:t>
      </w:r>
      <w:hyperlink r:id="rId1" w:history="1">
        <w:r w:rsidRPr="00975939">
          <w:rPr>
            <w:rStyle w:val="Hyperlink"/>
            <w:i/>
            <w:iCs/>
            <w:lang w:val="en-GB"/>
          </w:rPr>
          <w:t xml:space="preserve">Introducing the World’s First Global Producer </w:t>
        </w:r>
        <w:r>
          <w:rPr>
            <w:rStyle w:val="Hyperlink"/>
            <w:i/>
            <w:iCs/>
            <w:lang w:val="en-GB"/>
          </w:rPr>
          <w:t>P</w:t>
        </w:r>
        <w:r w:rsidRPr="00975939">
          <w:rPr>
            <w:rStyle w:val="Hyperlink"/>
            <w:i/>
            <w:iCs/>
            <w:lang w:val="en-GB"/>
          </w:rPr>
          <w:t>rice Indices for Beef Cattle and Sheep</w:t>
        </w:r>
      </w:hyperlink>
      <w:r>
        <w:rPr>
          <w:i/>
          <w:iCs/>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B566" w14:textId="77777777" w:rsidR="005A7542" w:rsidRPr="002C293D" w:rsidRDefault="005A7542" w:rsidP="002C293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03E16"/>
    <w:multiLevelType w:val="hybridMultilevel"/>
    <w:tmpl w:val="CA0A55B6"/>
    <w:lvl w:ilvl="0" w:tplc="F0C6736E">
      <w:start w:val="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5140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15F2931"/>
    <w:multiLevelType w:val="singleLevel"/>
    <w:tmpl w:val="95B48AB8"/>
    <w:lvl w:ilvl="0">
      <w:start w:val="1"/>
      <w:numFmt w:val="bullet"/>
      <w:pStyle w:val="Spiegel-1"/>
      <w:lvlText w:val=""/>
      <w:lvlJc w:val="left"/>
      <w:pPr>
        <w:ind w:left="360" w:hanging="360"/>
      </w:pPr>
      <w:rPr>
        <w:rFonts w:ascii="Symbol" w:hAnsi="Symbol" w:hint="default"/>
        <w:color w:val="008CD2"/>
        <w:u w:val="none" w:color="C0504D" w:themeColor="accent2"/>
      </w:rPr>
    </w:lvl>
  </w:abstractNum>
  <w:abstractNum w:abstractNumId="3" w15:restartNumberingAfterBreak="0">
    <w:nsid w:val="173D2728"/>
    <w:multiLevelType w:val="multilevel"/>
    <w:tmpl w:val="15801AD4"/>
    <w:styleLink w:val="Formatvorlage1"/>
    <w:lvl w:ilvl="0">
      <w:start w:val="1"/>
      <w:numFmt w:val="bullet"/>
      <w:pStyle w:val="Liste-1"/>
      <w:lvlText w:val=""/>
      <w:lvlJc w:val="left"/>
      <w:pPr>
        <w:ind w:left="284" w:hanging="284"/>
      </w:pPr>
      <w:rPr>
        <w:rFonts w:ascii="Symbol" w:hAnsi="Symbol" w:hint="default"/>
        <w:b w:val="0"/>
        <w:color w:val="008CD2"/>
        <w:u w:val="none" w:color="C0504D" w:themeColor="accent2"/>
      </w:rPr>
    </w:lvl>
    <w:lvl w:ilvl="1">
      <w:start w:val="1"/>
      <w:numFmt w:val="bullet"/>
      <w:lvlText w:val="‒"/>
      <w:lvlJc w:val="left"/>
      <w:pPr>
        <w:ind w:left="567" w:hanging="283"/>
      </w:pPr>
      <w:rPr>
        <w:rFonts w:ascii="Calibri" w:hAnsi="Calibri" w:hint="default"/>
        <w:b/>
        <w:i w:val="0"/>
        <w:color w:val="008CD2"/>
        <w:sz w:val="21"/>
      </w:rPr>
    </w:lvl>
    <w:lvl w:ilvl="2">
      <w:start w:val="1"/>
      <w:numFmt w:val="bullet"/>
      <w:lvlText w:val=""/>
      <w:lvlJc w:val="left"/>
      <w:pPr>
        <w:ind w:left="851" w:hanging="284"/>
      </w:pPr>
      <w:rPr>
        <w:rFonts w:ascii="Wingdings" w:hAnsi="Wingdings" w:hint="default"/>
        <w:color w:val="008CD2"/>
      </w:rPr>
    </w:lvl>
    <w:lvl w:ilvl="3">
      <w:start w:val="1"/>
      <w:numFmt w:val="bullet"/>
      <w:lvlText w:val=""/>
      <w:lvlJc w:val="left"/>
      <w:pPr>
        <w:ind w:left="1134" w:hanging="283"/>
      </w:pPr>
      <w:rPr>
        <w:rFonts w:ascii="Symbol" w:hAnsi="Symbol" w:hint="default"/>
        <w:color w:val="000000" w:themeColor="text1"/>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4" w15:restartNumberingAfterBreak="0">
    <w:nsid w:val="186C1445"/>
    <w:multiLevelType w:val="multilevel"/>
    <w:tmpl w:val="994A2B2A"/>
    <w:numStyleLink w:val="Formatvorlage3"/>
  </w:abstractNum>
  <w:abstractNum w:abstractNumId="5" w15:restartNumberingAfterBreak="0">
    <w:nsid w:val="2E621F24"/>
    <w:multiLevelType w:val="hybridMultilevel"/>
    <w:tmpl w:val="8F32135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174855"/>
    <w:multiLevelType w:val="multilevel"/>
    <w:tmpl w:val="FD02EA68"/>
    <w:numStyleLink w:val="Formatvorlage2"/>
  </w:abstractNum>
  <w:abstractNum w:abstractNumId="7" w15:restartNumberingAfterBreak="0">
    <w:nsid w:val="306B4025"/>
    <w:multiLevelType w:val="hybridMultilevel"/>
    <w:tmpl w:val="4E4886EA"/>
    <w:lvl w:ilvl="0" w:tplc="B3A2D56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F24FA"/>
    <w:multiLevelType w:val="hybridMultilevel"/>
    <w:tmpl w:val="27D8EA48"/>
    <w:lvl w:ilvl="0" w:tplc="5A9A4AA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23A78"/>
    <w:multiLevelType w:val="hybridMultilevel"/>
    <w:tmpl w:val="65DE83FE"/>
    <w:lvl w:ilvl="0" w:tplc="EB70B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60EBC"/>
    <w:multiLevelType w:val="multilevel"/>
    <w:tmpl w:val="FD02EA68"/>
    <w:styleLink w:val="Formatvorlage2"/>
    <w:lvl w:ilvl="0">
      <w:start w:val="1"/>
      <w:numFmt w:val="bullet"/>
      <w:pStyle w:val="Liste-2"/>
      <w:lvlText w:val="‒"/>
      <w:lvlJc w:val="left"/>
      <w:pPr>
        <w:ind w:left="284" w:hanging="284"/>
      </w:pPr>
      <w:rPr>
        <w:rFonts w:ascii="Calibri" w:hAnsi="Calibri" w:hint="default"/>
        <w:b/>
        <w:i w:val="0"/>
        <w:color w:val="008CD2"/>
        <w:sz w:val="21"/>
        <w:szCs w:val="32"/>
        <w:u w:val="none" w:color="C0504D" w:themeColor="accent2"/>
      </w:rPr>
    </w:lvl>
    <w:lvl w:ilvl="1">
      <w:start w:val="1"/>
      <w:numFmt w:val="bullet"/>
      <w:lvlText w:val=""/>
      <w:lvlJc w:val="left"/>
      <w:pPr>
        <w:ind w:left="567" w:hanging="283"/>
      </w:pPr>
      <w:rPr>
        <w:rFonts w:ascii="Symbol" w:hAnsi="Symbol" w:hint="default"/>
        <w:color w:val="008CD2"/>
      </w:rPr>
    </w:lvl>
    <w:lvl w:ilvl="2">
      <w:start w:val="1"/>
      <w:numFmt w:val="bullet"/>
      <w:lvlText w:val=""/>
      <w:lvlJc w:val="left"/>
      <w:pPr>
        <w:ind w:left="851" w:hanging="284"/>
      </w:pPr>
      <w:rPr>
        <w:rFonts w:ascii="Wingdings" w:hAnsi="Wingdings" w:hint="default"/>
        <w:color w:val="008CD2"/>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11" w15:restartNumberingAfterBreak="0">
    <w:nsid w:val="3C3463F3"/>
    <w:multiLevelType w:val="multilevel"/>
    <w:tmpl w:val="5D6A2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70276"/>
    <w:multiLevelType w:val="hybridMultilevel"/>
    <w:tmpl w:val="4E0C857C"/>
    <w:lvl w:ilvl="0" w:tplc="822EBE04">
      <w:start w:val="1"/>
      <w:numFmt w:val="bullet"/>
      <w:lvlText w:val=""/>
      <w:lvlJc w:val="left"/>
      <w:pPr>
        <w:tabs>
          <w:tab w:val="num" w:pos="720"/>
        </w:tabs>
        <w:ind w:left="720" w:hanging="360"/>
      </w:pPr>
      <w:rPr>
        <w:rFonts w:ascii="Wingdings" w:hAnsi="Wingdings" w:hint="default"/>
      </w:rPr>
    </w:lvl>
    <w:lvl w:ilvl="1" w:tplc="3ED606BC" w:tentative="1">
      <w:start w:val="1"/>
      <w:numFmt w:val="bullet"/>
      <w:lvlText w:val=""/>
      <w:lvlJc w:val="left"/>
      <w:pPr>
        <w:tabs>
          <w:tab w:val="num" w:pos="1440"/>
        </w:tabs>
        <w:ind w:left="1440" w:hanging="360"/>
      </w:pPr>
      <w:rPr>
        <w:rFonts w:ascii="Wingdings" w:hAnsi="Wingdings" w:hint="default"/>
      </w:rPr>
    </w:lvl>
    <w:lvl w:ilvl="2" w:tplc="9F5E61F6" w:tentative="1">
      <w:start w:val="1"/>
      <w:numFmt w:val="bullet"/>
      <w:lvlText w:val=""/>
      <w:lvlJc w:val="left"/>
      <w:pPr>
        <w:tabs>
          <w:tab w:val="num" w:pos="2160"/>
        </w:tabs>
        <w:ind w:left="2160" w:hanging="360"/>
      </w:pPr>
      <w:rPr>
        <w:rFonts w:ascii="Wingdings" w:hAnsi="Wingdings" w:hint="default"/>
      </w:rPr>
    </w:lvl>
    <w:lvl w:ilvl="3" w:tplc="93386140" w:tentative="1">
      <w:start w:val="1"/>
      <w:numFmt w:val="bullet"/>
      <w:lvlText w:val=""/>
      <w:lvlJc w:val="left"/>
      <w:pPr>
        <w:tabs>
          <w:tab w:val="num" w:pos="2880"/>
        </w:tabs>
        <w:ind w:left="2880" w:hanging="360"/>
      </w:pPr>
      <w:rPr>
        <w:rFonts w:ascii="Wingdings" w:hAnsi="Wingdings" w:hint="default"/>
      </w:rPr>
    </w:lvl>
    <w:lvl w:ilvl="4" w:tplc="2B3C1F0A" w:tentative="1">
      <w:start w:val="1"/>
      <w:numFmt w:val="bullet"/>
      <w:lvlText w:val=""/>
      <w:lvlJc w:val="left"/>
      <w:pPr>
        <w:tabs>
          <w:tab w:val="num" w:pos="3600"/>
        </w:tabs>
        <w:ind w:left="3600" w:hanging="360"/>
      </w:pPr>
      <w:rPr>
        <w:rFonts w:ascii="Wingdings" w:hAnsi="Wingdings" w:hint="default"/>
      </w:rPr>
    </w:lvl>
    <w:lvl w:ilvl="5" w:tplc="36EE9E46" w:tentative="1">
      <w:start w:val="1"/>
      <w:numFmt w:val="bullet"/>
      <w:lvlText w:val=""/>
      <w:lvlJc w:val="left"/>
      <w:pPr>
        <w:tabs>
          <w:tab w:val="num" w:pos="4320"/>
        </w:tabs>
        <w:ind w:left="4320" w:hanging="360"/>
      </w:pPr>
      <w:rPr>
        <w:rFonts w:ascii="Wingdings" w:hAnsi="Wingdings" w:hint="default"/>
      </w:rPr>
    </w:lvl>
    <w:lvl w:ilvl="6" w:tplc="498879F2" w:tentative="1">
      <w:start w:val="1"/>
      <w:numFmt w:val="bullet"/>
      <w:lvlText w:val=""/>
      <w:lvlJc w:val="left"/>
      <w:pPr>
        <w:tabs>
          <w:tab w:val="num" w:pos="5040"/>
        </w:tabs>
        <w:ind w:left="5040" w:hanging="360"/>
      </w:pPr>
      <w:rPr>
        <w:rFonts w:ascii="Wingdings" w:hAnsi="Wingdings" w:hint="default"/>
      </w:rPr>
    </w:lvl>
    <w:lvl w:ilvl="7" w:tplc="C4FC7C46" w:tentative="1">
      <w:start w:val="1"/>
      <w:numFmt w:val="bullet"/>
      <w:lvlText w:val=""/>
      <w:lvlJc w:val="left"/>
      <w:pPr>
        <w:tabs>
          <w:tab w:val="num" w:pos="5760"/>
        </w:tabs>
        <w:ind w:left="5760" w:hanging="360"/>
      </w:pPr>
      <w:rPr>
        <w:rFonts w:ascii="Wingdings" w:hAnsi="Wingdings" w:hint="default"/>
      </w:rPr>
    </w:lvl>
    <w:lvl w:ilvl="8" w:tplc="0204BF4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02657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BE066C"/>
    <w:multiLevelType w:val="singleLevel"/>
    <w:tmpl w:val="F5182F88"/>
    <w:lvl w:ilvl="0">
      <w:start w:val="1"/>
      <w:numFmt w:val="decimal"/>
      <w:pStyle w:val="spiegel-3"/>
      <w:lvlText w:val="(%1)"/>
      <w:lvlJc w:val="left"/>
      <w:pPr>
        <w:tabs>
          <w:tab w:val="num" w:pos="567"/>
        </w:tabs>
        <w:ind w:left="567" w:hanging="567"/>
      </w:pPr>
      <w:rPr>
        <w:b w:val="0"/>
        <w:i w:val="0"/>
      </w:rPr>
    </w:lvl>
  </w:abstractNum>
  <w:abstractNum w:abstractNumId="15" w15:restartNumberingAfterBreak="0">
    <w:nsid w:val="49561F5B"/>
    <w:multiLevelType w:val="multilevel"/>
    <w:tmpl w:val="417E0B3A"/>
    <w:lvl w:ilvl="0">
      <w:start w:val="1"/>
      <w:numFmt w:val="decimal"/>
      <w:lvlText w:val="%1"/>
      <w:lvlJc w:val="left"/>
      <w:pPr>
        <w:ind w:left="567" w:hanging="567"/>
      </w:pPr>
      <w:rPr>
        <w:rFonts w:hint="default"/>
      </w:rPr>
    </w:lvl>
    <w:lvl w:ilvl="1">
      <w:start w:val="1"/>
      <w:numFmt w:val="decimal"/>
      <w:lvlText w:val="%1.%2"/>
      <w:lvlJc w:val="left"/>
      <w:pPr>
        <w:tabs>
          <w:tab w:val="num" w:pos="5670"/>
        </w:tabs>
        <w:ind w:left="567" w:hanging="567"/>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tabs>
          <w:tab w:val="num" w:pos="2268"/>
        </w:tabs>
        <w:ind w:left="1247" w:hanging="1247"/>
      </w:pPr>
      <w:rPr>
        <w:rFonts w:hint="default"/>
      </w:rPr>
    </w:lvl>
    <w:lvl w:ilvl="5">
      <w:start w:val="1"/>
      <w:numFmt w:val="decimal"/>
      <w:lvlText w:val="%1.%2.%3.%4.%5.%6"/>
      <w:lvlJc w:val="left"/>
      <w:pPr>
        <w:ind w:left="1474" w:hanging="1474"/>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928" w:hanging="1928"/>
      </w:pPr>
      <w:rPr>
        <w:rFonts w:hint="default"/>
      </w:rPr>
    </w:lvl>
    <w:lvl w:ilvl="8">
      <w:start w:val="1"/>
      <w:numFmt w:val="decimal"/>
      <w:lvlText w:val="%1.%2.%3.%4.%5.%6.%7.%8.%9"/>
      <w:lvlJc w:val="left"/>
      <w:pPr>
        <w:ind w:left="2155" w:hanging="2155"/>
      </w:pPr>
      <w:rPr>
        <w:rFonts w:hint="default"/>
      </w:rPr>
    </w:lvl>
  </w:abstractNum>
  <w:abstractNum w:abstractNumId="16" w15:restartNumberingAfterBreak="0">
    <w:nsid w:val="4EB77F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DA0C04"/>
    <w:multiLevelType w:val="singleLevel"/>
    <w:tmpl w:val="B6EC0C7E"/>
    <w:lvl w:ilvl="0">
      <w:start w:val="1"/>
      <w:numFmt w:val="bullet"/>
      <w:pStyle w:val="Spiegel-2"/>
      <w:lvlText w:val="−"/>
      <w:lvlJc w:val="left"/>
      <w:pPr>
        <w:ind w:left="720" w:hanging="360"/>
      </w:pPr>
      <w:rPr>
        <w:rFonts w:ascii="Calibri" w:hAnsi="Calibri" w:hint="default"/>
        <w:b/>
        <w:i w:val="0"/>
        <w:color w:val="008CD2"/>
        <w:sz w:val="32"/>
        <w:szCs w:val="32"/>
        <w:u w:val="none" w:color="C0504D" w:themeColor="accent2"/>
      </w:rPr>
    </w:lvl>
  </w:abstractNum>
  <w:abstractNum w:abstractNumId="18" w15:restartNumberingAfterBreak="0">
    <w:nsid w:val="547B27E0"/>
    <w:multiLevelType w:val="hybridMultilevel"/>
    <w:tmpl w:val="7772B40E"/>
    <w:lvl w:ilvl="0" w:tplc="FF9A6544">
      <w:start w:val="1"/>
      <w:numFmt w:val="decimal"/>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66C3A9B"/>
    <w:multiLevelType w:val="multilevel"/>
    <w:tmpl w:val="A964D06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94" w:hanging="794"/>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985" w:hanging="1985"/>
      </w:pPr>
      <w:rPr>
        <w:rFonts w:hint="default"/>
      </w:rPr>
    </w:lvl>
    <w:lvl w:ilvl="8">
      <w:start w:val="1"/>
      <w:numFmt w:val="decimal"/>
      <w:pStyle w:val="berschrift9"/>
      <w:lvlText w:val="%1.%2.%3.%4.%5.%6.%7.%8.%9"/>
      <w:lvlJc w:val="left"/>
      <w:pPr>
        <w:ind w:left="2268" w:hanging="2268"/>
      </w:pPr>
      <w:rPr>
        <w:rFonts w:hint="default"/>
      </w:rPr>
    </w:lvl>
  </w:abstractNum>
  <w:abstractNum w:abstractNumId="20" w15:restartNumberingAfterBreak="0">
    <w:nsid w:val="56D85D2C"/>
    <w:multiLevelType w:val="hybridMultilevel"/>
    <w:tmpl w:val="6EBA3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C43BE"/>
    <w:multiLevelType w:val="hybridMultilevel"/>
    <w:tmpl w:val="292E308E"/>
    <w:lvl w:ilvl="0" w:tplc="6D4EC5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87A1BB5"/>
    <w:multiLevelType w:val="hybridMultilevel"/>
    <w:tmpl w:val="49D60664"/>
    <w:lvl w:ilvl="0" w:tplc="78327DE0">
      <w:start w:val="1"/>
      <w:numFmt w:val="bullet"/>
      <w:lvlText w:val=""/>
      <w:lvlJc w:val="left"/>
      <w:pPr>
        <w:tabs>
          <w:tab w:val="num" w:pos="720"/>
        </w:tabs>
        <w:ind w:left="720" w:hanging="360"/>
      </w:pPr>
      <w:rPr>
        <w:rFonts w:ascii="Wingdings" w:hAnsi="Wingdings" w:hint="default"/>
      </w:rPr>
    </w:lvl>
    <w:lvl w:ilvl="1" w:tplc="75107080" w:tentative="1">
      <w:start w:val="1"/>
      <w:numFmt w:val="bullet"/>
      <w:lvlText w:val=""/>
      <w:lvlJc w:val="left"/>
      <w:pPr>
        <w:tabs>
          <w:tab w:val="num" w:pos="1440"/>
        </w:tabs>
        <w:ind w:left="1440" w:hanging="360"/>
      </w:pPr>
      <w:rPr>
        <w:rFonts w:ascii="Wingdings" w:hAnsi="Wingdings" w:hint="default"/>
      </w:rPr>
    </w:lvl>
    <w:lvl w:ilvl="2" w:tplc="38A2E862" w:tentative="1">
      <w:start w:val="1"/>
      <w:numFmt w:val="bullet"/>
      <w:lvlText w:val=""/>
      <w:lvlJc w:val="left"/>
      <w:pPr>
        <w:tabs>
          <w:tab w:val="num" w:pos="2160"/>
        </w:tabs>
        <w:ind w:left="2160" w:hanging="360"/>
      </w:pPr>
      <w:rPr>
        <w:rFonts w:ascii="Wingdings" w:hAnsi="Wingdings" w:hint="default"/>
      </w:rPr>
    </w:lvl>
    <w:lvl w:ilvl="3" w:tplc="BE5440A2" w:tentative="1">
      <w:start w:val="1"/>
      <w:numFmt w:val="bullet"/>
      <w:lvlText w:val=""/>
      <w:lvlJc w:val="left"/>
      <w:pPr>
        <w:tabs>
          <w:tab w:val="num" w:pos="2880"/>
        </w:tabs>
        <w:ind w:left="2880" w:hanging="360"/>
      </w:pPr>
      <w:rPr>
        <w:rFonts w:ascii="Wingdings" w:hAnsi="Wingdings" w:hint="default"/>
      </w:rPr>
    </w:lvl>
    <w:lvl w:ilvl="4" w:tplc="D1203712" w:tentative="1">
      <w:start w:val="1"/>
      <w:numFmt w:val="bullet"/>
      <w:lvlText w:val=""/>
      <w:lvlJc w:val="left"/>
      <w:pPr>
        <w:tabs>
          <w:tab w:val="num" w:pos="3600"/>
        </w:tabs>
        <w:ind w:left="3600" w:hanging="360"/>
      </w:pPr>
      <w:rPr>
        <w:rFonts w:ascii="Wingdings" w:hAnsi="Wingdings" w:hint="default"/>
      </w:rPr>
    </w:lvl>
    <w:lvl w:ilvl="5" w:tplc="FDC295F8" w:tentative="1">
      <w:start w:val="1"/>
      <w:numFmt w:val="bullet"/>
      <w:lvlText w:val=""/>
      <w:lvlJc w:val="left"/>
      <w:pPr>
        <w:tabs>
          <w:tab w:val="num" w:pos="4320"/>
        </w:tabs>
        <w:ind w:left="4320" w:hanging="360"/>
      </w:pPr>
      <w:rPr>
        <w:rFonts w:ascii="Wingdings" w:hAnsi="Wingdings" w:hint="default"/>
      </w:rPr>
    </w:lvl>
    <w:lvl w:ilvl="6" w:tplc="CC268180" w:tentative="1">
      <w:start w:val="1"/>
      <w:numFmt w:val="bullet"/>
      <w:lvlText w:val=""/>
      <w:lvlJc w:val="left"/>
      <w:pPr>
        <w:tabs>
          <w:tab w:val="num" w:pos="5040"/>
        </w:tabs>
        <w:ind w:left="5040" w:hanging="360"/>
      </w:pPr>
      <w:rPr>
        <w:rFonts w:ascii="Wingdings" w:hAnsi="Wingdings" w:hint="default"/>
      </w:rPr>
    </w:lvl>
    <w:lvl w:ilvl="7" w:tplc="81ECB8F6" w:tentative="1">
      <w:start w:val="1"/>
      <w:numFmt w:val="bullet"/>
      <w:lvlText w:val=""/>
      <w:lvlJc w:val="left"/>
      <w:pPr>
        <w:tabs>
          <w:tab w:val="num" w:pos="5760"/>
        </w:tabs>
        <w:ind w:left="5760" w:hanging="360"/>
      </w:pPr>
      <w:rPr>
        <w:rFonts w:ascii="Wingdings" w:hAnsi="Wingdings" w:hint="default"/>
      </w:rPr>
    </w:lvl>
    <w:lvl w:ilvl="8" w:tplc="2E48D0C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653D74"/>
    <w:multiLevelType w:val="multilevel"/>
    <w:tmpl w:val="994A2B2A"/>
    <w:styleLink w:val="Formatvorlage3"/>
    <w:lvl w:ilvl="0">
      <w:start w:val="1"/>
      <w:numFmt w:val="decimal"/>
      <w:pStyle w:val="Liste-3"/>
      <w:lvlText w:val="(%1)"/>
      <w:lvlJc w:val="left"/>
      <w:pPr>
        <w:tabs>
          <w:tab w:val="num" w:pos="567"/>
        </w:tabs>
        <w:ind w:left="425" w:hanging="425"/>
      </w:pPr>
      <w:rPr>
        <w:rFonts w:hint="default"/>
        <w:b w:val="0"/>
        <w:i w:val="0"/>
      </w:rPr>
    </w:lvl>
    <w:lvl w:ilvl="1">
      <w:start w:val="1"/>
      <w:numFmt w:val="lowerLetter"/>
      <w:lvlText w:val="%2."/>
      <w:lvlJc w:val="left"/>
      <w:pPr>
        <w:tabs>
          <w:tab w:val="num" w:pos="1134"/>
        </w:tabs>
        <w:ind w:left="851" w:hanging="397"/>
      </w:pPr>
      <w:rPr>
        <w:rFonts w:hint="default"/>
      </w:rPr>
    </w:lvl>
    <w:lvl w:ilvl="2">
      <w:start w:val="1"/>
      <w:numFmt w:val="lowerRoman"/>
      <w:lvlText w:val="%3."/>
      <w:lvlJc w:val="right"/>
      <w:pPr>
        <w:tabs>
          <w:tab w:val="num" w:pos="1701"/>
        </w:tabs>
        <w:ind w:left="1247" w:hanging="255"/>
      </w:pPr>
      <w:rPr>
        <w:rFonts w:hint="default"/>
      </w:rPr>
    </w:lvl>
    <w:lvl w:ilvl="3">
      <w:start w:val="1"/>
      <w:numFmt w:val="decimal"/>
      <w:lvlText w:val="%4."/>
      <w:lvlJc w:val="left"/>
      <w:pPr>
        <w:tabs>
          <w:tab w:val="num" w:pos="2268"/>
        </w:tabs>
        <w:ind w:left="1814" w:hanging="680"/>
      </w:pPr>
      <w:rPr>
        <w:rFonts w:hint="default"/>
      </w:rPr>
    </w:lvl>
    <w:lvl w:ilvl="4">
      <w:start w:val="1"/>
      <w:numFmt w:val="lowerLetter"/>
      <w:lvlText w:val="%5."/>
      <w:lvlJc w:val="left"/>
      <w:pPr>
        <w:tabs>
          <w:tab w:val="num" w:pos="2835"/>
        </w:tabs>
        <w:ind w:left="2268" w:hanging="454"/>
      </w:pPr>
      <w:rPr>
        <w:rFonts w:hint="default"/>
      </w:rPr>
    </w:lvl>
    <w:lvl w:ilvl="5">
      <w:start w:val="1"/>
      <w:numFmt w:val="lowerRoman"/>
      <w:lvlText w:val="%6."/>
      <w:lvlJc w:val="right"/>
      <w:pPr>
        <w:tabs>
          <w:tab w:val="num" w:pos="3402"/>
        </w:tabs>
        <w:ind w:left="2722" w:hanging="454"/>
      </w:pPr>
      <w:rPr>
        <w:rFonts w:hint="default"/>
      </w:rPr>
    </w:lvl>
    <w:lvl w:ilvl="6">
      <w:start w:val="1"/>
      <w:numFmt w:val="decimal"/>
      <w:lvlText w:val="%7."/>
      <w:lvlJc w:val="left"/>
      <w:pPr>
        <w:tabs>
          <w:tab w:val="num" w:pos="3969"/>
        </w:tabs>
        <w:ind w:left="3175" w:hanging="453"/>
      </w:pPr>
      <w:rPr>
        <w:rFonts w:hint="default"/>
      </w:rPr>
    </w:lvl>
    <w:lvl w:ilvl="7">
      <w:start w:val="1"/>
      <w:numFmt w:val="lowerLetter"/>
      <w:lvlText w:val="%8."/>
      <w:lvlJc w:val="left"/>
      <w:pPr>
        <w:tabs>
          <w:tab w:val="num" w:pos="4536"/>
        </w:tabs>
        <w:ind w:left="3629" w:hanging="454"/>
      </w:pPr>
      <w:rPr>
        <w:rFonts w:hint="default"/>
      </w:rPr>
    </w:lvl>
    <w:lvl w:ilvl="8">
      <w:start w:val="1"/>
      <w:numFmt w:val="lowerRoman"/>
      <w:lvlText w:val="%9."/>
      <w:lvlJc w:val="right"/>
      <w:pPr>
        <w:tabs>
          <w:tab w:val="num" w:pos="5103"/>
        </w:tabs>
        <w:ind w:left="4082" w:hanging="453"/>
      </w:pPr>
      <w:rPr>
        <w:rFonts w:hint="default"/>
      </w:rPr>
    </w:lvl>
  </w:abstractNum>
  <w:abstractNum w:abstractNumId="24" w15:restartNumberingAfterBreak="0">
    <w:nsid w:val="5B1E56BE"/>
    <w:multiLevelType w:val="hybridMultilevel"/>
    <w:tmpl w:val="3D4C1152"/>
    <w:lvl w:ilvl="0" w:tplc="1CF2E05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EE55D9"/>
    <w:multiLevelType w:val="hybridMultilevel"/>
    <w:tmpl w:val="7C2E4F2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E6F0240"/>
    <w:multiLevelType w:val="hybridMultilevel"/>
    <w:tmpl w:val="266C6100"/>
    <w:lvl w:ilvl="0" w:tplc="9EEC486A">
      <w:start w:val="1"/>
      <w:numFmt w:val="bullet"/>
      <w:lvlText w:val=""/>
      <w:lvlJc w:val="left"/>
      <w:pPr>
        <w:tabs>
          <w:tab w:val="num" w:pos="720"/>
        </w:tabs>
        <w:ind w:left="720" w:hanging="360"/>
      </w:pPr>
      <w:rPr>
        <w:rFonts w:ascii="Wingdings" w:hAnsi="Wingdings" w:hint="default"/>
      </w:rPr>
    </w:lvl>
    <w:lvl w:ilvl="1" w:tplc="792E5530" w:tentative="1">
      <w:start w:val="1"/>
      <w:numFmt w:val="bullet"/>
      <w:lvlText w:val=""/>
      <w:lvlJc w:val="left"/>
      <w:pPr>
        <w:tabs>
          <w:tab w:val="num" w:pos="1440"/>
        </w:tabs>
        <w:ind w:left="1440" w:hanging="360"/>
      </w:pPr>
      <w:rPr>
        <w:rFonts w:ascii="Wingdings" w:hAnsi="Wingdings" w:hint="default"/>
      </w:rPr>
    </w:lvl>
    <w:lvl w:ilvl="2" w:tplc="8B4AFDAE" w:tentative="1">
      <w:start w:val="1"/>
      <w:numFmt w:val="bullet"/>
      <w:lvlText w:val=""/>
      <w:lvlJc w:val="left"/>
      <w:pPr>
        <w:tabs>
          <w:tab w:val="num" w:pos="2160"/>
        </w:tabs>
        <w:ind w:left="2160" w:hanging="360"/>
      </w:pPr>
      <w:rPr>
        <w:rFonts w:ascii="Wingdings" w:hAnsi="Wingdings" w:hint="default"/>
      </w:rPr>
    </w:lvl>
    <w:lvl w:ilvl="3" w:tplc="86002166" w:tentative="1">
      <w:start w:val="1"/>
      <w:numFmt w:val="bullet"/>
      <w:lvlText w:val=""/>
      <w:lvlJc w:val="left"/>
      <w:pPr>
        <w:tabs>
          <w:tab w:val="num" w:pos="2880"/>
        </w:tabs>
        <w:ind w:left="2880" w:hanging="360"/>
      </w:pPr>
      <w:rPr>
        <w:rFonts w:ascii="Wingdings" w:hAnsi="Wingdings" w:hint="default"/>
      </w:rPr>
    </w:lvl>
    <w:lvl w:ilvl="4" w:tplc="ABE62350" w:tentative="1">
      <w:start w:val="1"/>
      <w:numFmt w:val="bullet"/>
      <w:lvlText w:val=""/>
      <w:lvlJc w:val="left"/>
      <w:pPr>
        <w:tabs>
          <w:tab w:val="num" w:pos="3600"/>
        </w:tabs>
        <w:ind w:left="3600" w:hanging="360"/>
      </w:pPr>
      <w:rPr>
        <w:rFonts w:ascii="Wingdings" w:hAnsi="Wingdings" w:hint="default"/>
      </w:rPr>
    </w:lvl>
    <w:lvl w:ilvl="5" w:tplc="0F128542" w:tentative="1">
      <w:start w:val="1"/>
      <w:numFmt w:val="bullet"/>
      <w:lvlText w:val=""/>
      <w:lvlJc w:val="left"/>
      <w:pPr>
        <w:tabs>
          <w:tab w:val="num" w:pos="4320"/>
        </w:tabs>
        <w:ind w:left="4320" w:hanging="360"/>
      </w:pPr>
      <w:rPr>
        <w:rFonts w:ascii="Wingdings" w:hAnsi="Wingdings" w:hint="default"/>
      </w:rPr>
    </w:lvl>
    <w:lvl w:ilvl="6" w:tplc="C71C1FDC" w:tentative="1">
      <w:start w:val="1"/>
      <w:numFmt w:val="bullet"/>
      <w:lvlText w:val=""/>
      <w:lvlJc w:val="left"/>
      <w:pPr>
        <w:tabs>
          <w:tab w:val="num" w:pos="5040"/>
        </w:tabs>
        <w:ind w:left="5040" w:hanging="360"/>
      </w:pPr>
      <w:rPr>
        <w:rFonts w:ascii="Wingdings" w:hAnsi="Wingdings" w:hint="default"/>
      </w:rPr>
    </w:lvl>
    <w:lvl w:ilvl="7" w:tplc="AFF286DE" w:tentative="1">
      <w:start w:val="1"/>
      <w:numFmt w:val="bullet"/>
      <w:lvlText w:val=""/>
      <w:lvlJc w:val="left"/>
      <w:pPr>
        <w:tabs>
          <w:tab w:val="num" w:pos="5760"/>
        </w:tabs>
        <w:ind w:left="5760" w:hanging="360"/>
      </w:pPr>
      <w:rPr>
        <w:rFonts w:ascii="Wingdings" w:hAnsi="Wingdings" w:hint="default"/>
      </w:rPr>
    </w:lvl>
    <w:lvl w:ilvl="8" w:tplc="8ED02EB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E67EDA"/>
    <w:multiLevelType w:val="hybridMultilevel"/>
    <w:tmpl w:val="0A92DDA4"/>
    <w:lvl w:ilvl="0" w:tplc="92320CD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8F0F14"/>
    <w:multiLevelType w:val="hybridMultilevel"/>
    <w:tmpl w:val="1562BF1A"/>
    <w:lvl w:ilvl="0" w:tplc="570CEDE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21E0C"/>
    <w:multiLevelType w:val="hybridMultilevel"/>
    <w:tmpl w:val="C5224BA0"/>
    <w:lvl w:ilvl="0" w:tplc="1F488B7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8D0091F"/>
    <w:multiLevelType w:val="hybridMultilevel"/>
    <w:tmpl w:val="C9A6757C"/>
    <w:lvl w:ilvl="0" w:tplc="B6683A96">
      <w:start w:val="1"/>
      <w:numFmt w:val="decimal"/>
      <w:lvlText w:val="%1......"/>
      <w:lvlJc w:val="left"/>
      <w:pPr>
        <w:ind w:left="720" w:hanging="360"/>
      </w:pPr>
      <w:rPr>
        <w:rFonts w:hint="default"/>
        <w:kern w:val="0"/>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14"/>
  </w:num>
  <w:num w:numId="3">
    <w:abstractNumId w:val="2"/>
  </w:num>
  <w:num w:numId="4">
    <w:abstractNumId w:val="13"/>
  </w:num>
  <w:num w:numId="5">
    <w:abstractNumId w:val="29"/>
  </w:num>
  <w:num w:numId="6">
    <w:abstractNumId w:val="18"/>
  </w:num>
  <w:num w:numId="7">
    <w:abstractNumId w:val="30"/>
  </w:num>
  <w:num w:numId="8">
    <w:abstractNumId w:val="21"/>
  </w:num>
  <w:num w:numId="9">
    <w:abstractNumId w:val="15"/>
  </w:num>
  <w:num w:numId="10">
    <w:abstractNumId w:val="15"/>
  </w:num>
  <w:num w:numId="11">
    <w:abstractNumId w:val="16"/>
  </w:num>
  <w:num w:numId="12">
    <w:abstractNumId w:val="1"/>
  </w:num>
  <w:num w:numId="13">
    <w:abstractNumId w:val="22"/>
  </w:num>
  <w:num w:numId="14">
    <w:abstractNumId w:val="25"/>
  </w:num>
  <w:num w:numId="15">
    <w:abstractNumId w:val="2"/>
  </w:num>
  <w:num w:numId="16">
    <w:abstractNumId w:val="2"/>
  </w:num>
  <w:num w:numId="17">
    <w:abstractNumId w:val="2"/>
  </w:num>
  <w:num w:numId="18">
    <w:abstractNumId w:val="27"/>
  </w:num>
  <w:num w:numId="19">
    <w:abstractNumId w:val="0"/>
  </w:num>
  <w:num w:numId="20">
    <w:abstractNumId w:val="11"/>
  </w:num>
  <w:num w:numId="21">
    <w:abstractNumId w:val="9"/>
  </w:num>
  <w:num w:numId="22">
    <w:abstractNumId w:val="7"/>
  </w:num>
  <w:num w:numId="23">
    <w:abstractNumId w:val="20"/>
  </w:num>
  <w:num w:numId="24">
    <w:abstractNumId w:val="8"/>
  </w:num>
  <w:num w:numId="25">
    <w:abstractNumId w:val="28"/>
  </w:num>
  <w:num w:numId="26">
    <w:abstractNumId w:val="24"/>
  </w:num>
  <w:num w:numId="27">
    <w:abstractNumId w:val="12"/>
  </w:num>
  <w:num w:numId="28">
    <w:abstractNumId w:val="26"/>
  </w:num>
  <w:num w:numId="29">
    <w:abstractNumId w:val="5"/>
  </w:num>
  <w:num w:numId="30">
    <w:abstractNumId w:val="3"/>
  </w:num>
  <w:num w:numId="31">
    <w:abstractNumId w:val="10"/>
  </w:num>
  <w:num w:numId="32">
    <w:abstractNumId w:val="23"/>
  </w:num>
  <w:num w:numId="33">
    <w:abstractNumId w:val="3"/>
  </w:num>
  <w:num w:numId="34">
    <w:abstractNumId w:val="6"/>
  </w:num>
  <w:num w:numId="35">
    <w:abstractNumId w:val="4"/>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de-DE" w:vendorID="64" w:dllVersion="4096" w:nlCheck="1" w:checkStyle="0"/>
  <w:activeWritingStyle w:appName="MSWord" w:lang="ar-SA" w:vendorID="64" w:dllVersion="6" w:nlCheck="1" w:checkStyle="0"/>
  <w:activeWritingStyle w:appName="MSWord" w:lang="de-DE"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0"/>
  <w:autoHyphenation/>
  <w:hyphenationZone w:val="425"/>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5C3"/>
    <w:rsid w:val="000028E3"/>
    <w:rsid w:val="00002CB4"/>
    <w:rsid w:val="00005D29"/>
    <w:rsid w:val="00011F3D"/>
    <w:rsid w:val="00013E91"/>
    <w:rsid w:val="00014C9C"/>
    <w:rsid w:val="0001508A"/>
    <w:rsid w:val="0001510E"/>
    <w:rsid w:val="00015813"/>
    <w:rsid w:val="000162D6"/>
    <w:rsid w:val="0002181E"/>
    <w:rsid w:val="00024181"/>
    <w:rsid w:val="00024E6A"/>
    <w:rsid w:val="000269BA"/>
    <w:rsid w:val="00031F85"/>
    <w:rsid w:val="00033371"/>
    <w:rsid w:val="00034BCA"/>
    <w:rsid w:val="00034D74"/>
    <w:rsid w:val="00035527"/>
    <w:rsid w:val="000409C6"/>
    <w:rsid w:val="00041B76"/>
    <w:rsid w:val="000447F1"/>
    <w:rsid w:val="00044B03"/>
    <w:rsid w:val="000451C3"/>
    <w:rsid w:val="00047FFD"/>
    <w:rsid w:val="0005333E"/>
    <w:rsid w:val="00053900"/>
    <w:rsid w:val="00054E4E"/>
    <w:rsid w:val="00056542"/>
    <w:rsid w:val="00056CDC"/>
    <w:rsid w:val="00056F6A"/>
    <w:rsid w:val="00064FC8"/>
    <w:rsid w:val="00065F03"/>
    <w:rsid w:val="000663DD"/>
    <w:rsid w:val="00066F67"/>
    <w:rsid w:val="0007053D"/>
    <w:rsid w:val="00070608"/>
    <w:rsid w:val="00070822"/>
    <w:rsid w:val="000732CD"/>
    <w:rsid w:val="00073405"/>
    <w:rsid w:val="00076C3F"/>
    <w:rsid w:val="00076C9D"/>
    <w:rsid w:val="00077E8E"/>
    <w:rsid w:val="00080016"/>
    <w:rsid w:val="00083C90"/>
    <w:rsid w:val="00083EA2"/>
    <w:rsid w:val="0008700B"/>
    <w:rsid w:val="00091D5A"/>
    <w:rsid w:val="00092B7D"/>
    <w:rsid w:val="00093267"/>
    <w:rsid w:val="00095C3E"/>
    <w:rsid w:val="00095E48"/>
    <w:rsid w:val="00095EB3"/>
    <w:rsid w:val="0009635C"/>
    <w:rsid w:val="0009696B"/>
    <w:rsid w:val="000A0572"/>
    <w:rsid w:val="000A0A00"/>
    <w:rsid w:val="000A0C81"/>
    <w:rsid w:val="000A1262"/>
    <w:rsid w:val="000A2C49"/>
    <w:rsid w:val="000A37C9"/>
    <w:rsid w:val="000A414C"/>
    <w:rsid w:val="000A5C16"/>
    <w:rsid w:val="000A62E3"/>
    <w:rsid w:val="000A7AE7"/>
    <w:rsid w:val="000A7E1F"/>
    <w:rsid w:val="000B1885"/>
    <w:rsid w:val="000B3872"/>
    <w:rsid w:val="000B3A1A"/>
    <w:rsid w:val="000B47E9"/>
    <w:rsid w:val="000B4901"/>
    <w:rsid w:val="000B5007"/>
    <w:rsid w:val="000B63E7"/>
    <w:rsid w:val="000B7493"/>
    <w:rsid w:val="000B78C7"/>
    <w:rsid w:val="000C03D9"/>
    <w:rsid w:val="000C2B83"/>
    <w:rsid w:val="000C417E"/>
    <w:rsid w:val="000C41A5"/>
    <w:rsid w:val="000C462E"/>
    <w:rsid w:val="000C4E87"/>
    <w:rsid w:val="000C51D9"/>
    <w:rsid w:val="000C6A10"/>
    <w:rsid w:val="000D011D"/>
    <w:rsid w:val="000D22D6"/>
    <w:rsid w:val="000D25B2"/>
    <w:rsid w:val="000D40EB"/>
    <w:rsid w:val="000D42C7"/>
    <w:rsid w:val="000D7B3B"/>
    <w:rsid w:val="000E03FC"/>
    <w:rsid w:val="000E15CB"/>
    <w:rsid w:val="000E27F2"/>
    <w:rsid w:val="000E3C72"/>
    <w:rsid w:val="000E70AF"/>
    <w:rsid w:val="000E7640"/>
    <w:rsid w:val="000F0B8D"/>
    <w:rsid w:val="000F1156"/>
    <w:rsid w:val="000F2942"/>
    <w:rsid w:val="000F2AF1"/>
    <w:rsid w:val="000F3D21"/>
    <w:rsid w:val="000F5FF7"/>
    <w:rsid w:val="000F7C23"/>
    <w:rsid w:val="00100449"/>
    <w:rsid w:val="001020B2"/>
    <w:rsid w:val="00102B57"/>
    <w:rsid w:val="00107AF0"/>
    <w:rsid w:val="0011156B"/>
    <w:rsid w:val="00111F1B"/>
    <w:rsid w:val="00114EA9"/>
    <w:rsid w:val="0011650B"/>
    <w:rsid w:val="0011738F"/>
    <w:rsid w:val="00120EBE"/>
    <w:rsid w:val="0012198F"/>
    <w:rsid w:val="001227C5"/>
    <w:rsid w:val="00122CD2"/>
    <w:rsid w:val="00122F14"/>
    <w:rsid w:val="001236F5"/>
    <w:rsid w:val="00125C2C"/>
    <w:rsid w:val="00125C51"/>
    <w:rsid w:val="00126155"/>
    <w:rsid w:val="001267C1"/>
    <w:rsid w:val="001269A9"/>
    <w:rsid w:val="00126A9A"/>
    <w:rsid w:val="00127F5F"/>
    <w:rsid w:val="00130583"/>
    <w:rsid w:val="0013209E"/>
    <w:rsid w:val="0013244B"/>
    <w:rsid w:val="001348AA"/>
    <w:rsid w:val="00135ABE"/>
    <w:rsid w:val="0014082C"/>
    <w:rsid w:val="00141D03"/>
    <w:rsid w:val="0014358A"/>
    <w:rsid w:val="0014551D"/>
    <w:rsid w:val="0015022F"/>
    <w:rsid w:val="00152131"/>
    <w:rsid w:val="001532DC"/>
    <w:rsid w:val="00153833"/>
    <w:rsid w:val="00154055"/>
    <w:rsid w:val="001554BA"/>
    <w:rsid w:val="00162F81"/>
    <w:rsid w:val="00165D2B"/>
    <w:rsid w:val="001663E3"/>
    <w:rsid w:val="00166666"/>
    <w:rsid w:val="00166B74"/>
    <w:rsid w:val="00172F5A"/>
    <w:rsid w:val="0017376D"/>
    <w:rsid w:val="00173990"/>
    <w:rsid w:val="0017478D"/>
    <w:rsid w:val="001770C1"/>
    <w:rsid w:val="00177123"/>
    <w:rsid w:val="00177CA8"/>
    <w:rsid w:val="001815C3"/>
    <w:rsid w:val="00181DFD"/>
    <w:rsid w:val="00190E4F"/>
    <w:rsid w:val="00190F42"/>
    <w:rsid w:val="00194697"/>
    <w:rsid w:val="00194981"/>
    <w:rsid w:val="001959C9"/>
    <w:rsid w:val="00195E01"/>
    <w:rsid w:val="00196AEB"/>
    <w:rsid w:val="00197EAF"/>
    <w:rsid w:val="001A0F91"/>
    <w:rsid w:val="001A2CC3"/>
    <w:rsid w:val="001A3519"/>
    <w:rsid w:val="001A5976"/>
    <w:rsid w:val="001A64F0"/>
    <w:rsid w:val="001A6B0C"/>
    <w:rsid w:val="001A7B8C"/>
    <w:rsid w:val="001B0495"/>
    <w:rsid w:val="001B0804"/>
    <w:rsid w:val="001B346E"/>
    <w:rsid w:val="001B5428"/>
    <w:rsid w:val="001B578D"/>
    <w:rsid w:val="001B5FAB"/>
    <w:rsid w:val="001B6061"/>
    <w:rsid w:val="001B6AD3"/>
    <w:rsid w:val="001B7941"/>
    <w:rsid w:val="001C2441"/>
    <w:rsid w:val="001C2802"/>
    <w:rsid w:val="001C597F"/>
    <w:rsid w:val="001C6213"/>
    <w:rsid w:val="001C73F1"/>
    <w:rsid w:val="001D0C22"/>
    <w:rsid w:val="001D3A88"/>
    <w:rsid w:val="001D3BE5"/>
    <w:rsid w:val="001D62BA"/>
    <w:rsid w:val="001D7DFB"/>
    <w:rsid w:val="001E0915"/>
    <w:rsid w:val="001E195A"/>
    <w:rsid w:val="001E276C"/>
    <w:rsid w:val="001E2C8E"/>
    <w:rsid w:val="001E4713"/>
    <w:rsid w:val="001E6A61"/>
    <w:rsid w:val="001E6F11"/>
    <w:rsid w:val="001E7152"/>
    <w:rsid w:val="001F0972"/>
    <w:rsid w:val="001F0AAD"/>
    <w:rsid w:val="001F1C4C"/>
    <w:rsid w:val="001F4854"/>
    <w:rsid w:val="001F4B9B"/>
    <w:rsid w:val="001F5694"/>
    <w:rsid w:val="001F5728"/>
    <w:rsid w:val="001F5C97"/>
    <w:rsid w:val="001F78E2"/>
    <w:rsid w:val="001F7A69"/>
    <w:rsid w:val="0020048F"/>
    <w:rsid w:val="00200B22"/>
    <w:rsid w:val="00200DFC"/>
    <w:rsid w:val="002015BC"/>
    <w:rsid w:val="00202A5A"/>
    <w:rsid w:val="00203BA1"/>
    <w:rsid w:val="00204280"/>
    <w:rsid w:val="00204E7E"/>
    <w:rsid w:val="00206635"/>
    <w:rsid w:val="00207750"/>
    <w:rsid w:val="0021245C"/>
    <w:rsid w:val="00212C07"/>
    <w:rsid w:val="002140CF"/>
    <w:rsid w:val="00214D67"/>
    <w:rsid w:val="002155F8"/>
    <w:rsid w:val="00215918"/>
    <w:rsid w:val="0021602A"/>
    <w:rsid w:val="00217D0A"/>
    <w:rsid w:val="0022049C"/>
    <w:rsid w:val="002208EC"/>
    <w:rsid w:val="00220A48"/>
    <w:rsid w:val="00221834"/>
    <w:rsid w:val="00221E07"/>
    <w:rsid w:val="00222CE9"/>
    <w:rsid w:val="00223AB9"/>
    <w:rsid w:val="002247FC"/>
    <w:rsid w:val="00224BB0"/>
    <w:rsid w:val="00226EBE"/>
    <w:rsid w:val="00230AB9"/>
    <w:rsid w:val="002326FB"/>
    <w:rsid w:val="00232E4B"/>
    <w:rsid w:val="002332C3"/>
    <w:rsid w:val="00233A60"/>
    <w:rsid w:val="00234BE0"/>
    <w:rsid w:val="0023644E"/>
    <w:rsid w:val="002369FE"/>
    <w:rsid w:val="00236B27"/>
    <w:rsid w:val="0024172D"/>
    <w:rsid w:val="00242D50"/>
    <w:rsid w:val="0024327C"/>
    <w:rsid w:val="0024405E"/>
    <w:rsid w:val="00244246"/>
    <w:rsid w:val="00250A20"/>
    <w:rsid w:val="00250EDB"/>
    <w:rsid w:val="002530A7"/>
    <w:rsid w:val="00253D06"/>
    <w:rsid w:val="0025400C"/>
    <w:rsid w:val="00254BFB"/>
    <w:rsid w:val="00255984"/>
    <w:rsid w:val="00256D40"/>
    <w:rsid w:val="00260C66"/>
    <w:rsid w:val="0026140E"/>
    <w:rsid w:val="002619B7"/>
    <w:rsid w:val="00265BE0"/>
    <w:rsid w:val="00266E3E"/>
    <w:rsid w:val="00266EAB"/>
    <w:rsid w:val="00267AE7"/>
    <w:rsid w:val="00270BD3"/>
    <w:rsid w:val="00270FD8"/>
    <w:rsid w:val="00271A1B"/>
    <w:rsid w:val="00272D88"/>
    <w:rsid w:val="0027426F"/>
    <w:rsid w:val="00274A92"/>
    <w:rsid w:val="00283945"/>
    <w:rsid w:val="00284F93"/>
    <w:rsid w:val="002855C7"/>
    <w:rsid w:val="00286A31"/>
    <w:rsid w:val="00286C6E"/>
    <w:rsid w:val="00286FED"/>
    <w:rsid w:val="00287038"/>
    <w:rsid w:val="002917B3"/>
    <w:rsid w:val="00292B48"/>
    <w:rsid w:val="002945AA"/>
    <w:rsid w:val="00295939"/>
    <w:rsid w:val="00297269"/>
    <w:rsid w:val="002978F3"/>
    <w:rsid w:val="002A1A98"/>
    <w:rsid w:val="002A1F33"/>
    <w:rsid w:val="002A2F4D"/>
    <w:rsid w:val="002A30EE"/>
    <w:rsid w:val="002A6916"/>
    <w:rsid w:val="002A6FC4"/>
    <w:rsid w:val="002A71AF"/>
    <w:rsid w:val="002B046C"/>
    <w:rsid w:val="002B3D28"/>
    <w:rsid w:val="002B4F48"/>
    <w:rsid w:val="002C1FFB"/>
    <w:rsid w:val="002C2565"/>
    <w:rsid w:val="002C293D"/>
    <w:rsid w:val="002C2BA8"/>
    <w:rsid w:val="002C5868"/>
    <w:rsid w:val="002C6398"/>
    <w:rsid w:val="002C74B1"/>
    <w:rsid w:val="002D012B"/>
    <w:rsid w:val="002D20BC"/>
    <w:rsid w:val="002D290C"/>
    <w:rsid w:val="002D3652"/>
    <w:rsid w:val="002D41D3"/>
    <w:rsid w:val="002D4826"/>
    <w:rsid w:val="002D73DA"/>
    <w:rsid w:val="002E2160"/>
    <w:rsid w:val="002E2F6C"/>
    <w:rsid w:val="002E394B"/>
    <w:rsid w:val="002E4984"/>
    <w:rsid w:val="002E4DED"/>
    <w:rsid w:val="002E5EA7"/>
    <w:rsid w:val="002E6C03"/>
    <w:rsid w:val="002E7684"/>
    <w:rsid w:val="002F0C75"/>
    <w:rsid w:val="002F0F7C"/>
    <w:rsid w:val="002F564E"/>
    <w:rsid w:val="002F7029"/>
    <w:rsid w:val="002F7835"/>
    <w:rsid w:val="00300FF3"/>
    <w:rsid w:val="003011BF"/>
    <w:rsid w:val="00301CF9"/>
    <w:rsid w:val="00302CA0"/>
    <w:rsid w:val="00304E31"/>
    <w:rsid w:val="00305065"/>
    <w:rsid w:val="003066E4"/>
    <w:rsid w:val="00307182"/>
    <w:rsid w:val="00307517"/>
    <w:rsid w:val="00310479"/>
    <w:rsid w:val="00310480"/>
    <w:rsid w:val="00310AEE"/>
    <w:rsid w:val="00310CC2"/>
    <w:rsid w:val="003125F2"/>
    <w:rsid w:val="0031261F"/>
    <w:rsid w:val="003129AF"/>
    <w:rsid w:val="00312B80"/>
    <w:rsid w:val="00312B86"/>
    <w:rsid w:val="00314AF9"/>
    <w:rsid w:val="00316D0B"/>
    <w:rsid w:val="003206CA"/>
    <w:rsid w:val="00321079"/>
    <w:rsid w:val="00321BA1"/>
    <w:rsid w:val="00323640"/>
    <w:rsid w:val="00323A07"/>
    <w:rsid w:val="003248C0"/>
    <w:rsid w:val="00324BD2"/>
    <w:rsid w:val="003256BE"/>
    <w:rsid w:val="00325C1D"/>
    <w:rsid w:val="003262F7"/>
    <w:rsid w:val="00327187"/>
    <w:rsid w:val="00330E3E"/>
    <w:rsid w:val="003310BB"/>
    <w:rsid w:val="0033315A"/>
    <w:rsid w:val="0033397E"/>
    <w:rsid w:val="003343FA"/>
    <w:rsid w:val="00335403"/>
    <w:rsid w:val="00337020"/>
    <w:rsid w:val="0034095A"/>
    <w:rsid w:val="003409AF"/>
    <w:rsid w:val="00340DEA"/>
    <w:rsid w:val="003413FF"/>
    <w:rsid w:val="00342038"/>
    <w:rsid w:val="00343AC4"/>
    <w:rsid w:val="00343FB2"/>
    <w:rsid w:val="00345C9A"/>
    <w:rsid w:val="00350445"/>
    <w:rsid w:val="00350503"/>
    <w:rsid w:val="00350B6F"/>
    <w:rsid w:val="00352550"/>
    <w:rsid w:val="003529BD"/>
    <w:rsid w:val="00352BE5"/>
    <w:rsid w:val="00354027"/>
    <w:rsid w:val="00354D8E"/>
    <w:rsid w:val="003551A8"/>
    <w:rsid w:val="003562A3"/>
    <w:rsid w:val="00357BFF"/>
    <w:rsid w:val="0036005D"/>
    <w:rsid w:val="0036005F"/>
    <w:rsid w:val="0036072C"/>
    <w:rsid w:val="003627EC"/>
    <w:rsid w:val="00362E73"/>
    <w:rsid w:val="00363264"/>
    <w:rsid w:val="00364D81"/>
    <w:rsid w:val="003662A6"/>
    <w:rsid w:val="00367DEB"/>
    <w:rsid w:val="0037065D"/>
    <w:rsid w:val="003712BA"/>
    <w:rsid w:val="00372515"/>
    <w:rsid w:val="00373BFD"/>
    <w:rsid w:val="003764ED"/>
    <w:rsid w:val="00376560"/>
    <w:rsid w:val="0037734A"/>
    <w:rsid w:val="00380655"/>
    <w:rsid w:val="00381B7A"/>
    <w:rsid w:val="003825F1"/>
    <w:rsid w:val="00383458"/>
    <w:rsid w:val="00383CF0"/>
    <w:rsid w:val="00384143"/>
    <w:rsid w:val="00385B17"/>
    <w:rsid w:val="003862CE"/>
    <w:rsid w:val="00386533"/>
    <w:rsid w:val="00386B99"/>
    <w:rsid w:val="00386C59"/>
    <w:rsid w:val="00386CB5"/>
    <w:rsid w:val="003877E9"/>
    <w:rsid w:val="00387836"/>
    <w:rsid w:val="0039057B"/>
    <w:rsid w:val="0039162F"/>
    <w:rsid w:val="003933B3"/>
    <w:rsid w:val="003936D6"/>
    <w:rsid w:val="00393F60"/>
    <w:rsid w:val="00397BAA"/>
    <w:rsid w:val="003A211C"/>
    <w:rsid w:val="003A2708"/>
    <w:rsid w:val="003A31C1"/>
    <w:rsid w:val="003A373D"/>
    <w:rsid w:val="003A443C"/>
    <w:rsid w:val="003A4EE4"/>
    <w:rsid w:val="003A732C"/>
    <w:rsid w:val="003A7A90"/>
    <w:rsid w:val="003A7D77"/>
    <w:rsid w:val="003B0BB7"/>
    <w:rsid w:val="003B11C6"/>
    <w:rsid w:val="003B1600"/>
    <w:rsid w:val="003B18EB"/>
    <w:rsid w:val="003B320B"/>
    <w:rsid w:val="003B4907"/>
    <w:rsid w:val="003B57B3"/>
    <w:rsid w:val="003B5E2C"/>
    <w:rsid w:val="003B61DE"/>
    <w:rsid w:val="003B66E6"/>
    <w:rsid w:val="003B6FD6"/>
    <w:rsid w:val="003C085F"/>
    <w:rsid w:val="003C0EAB"/>
    <w:rsid w:val="003C3B05"/>
    <w:rsid w:val="003C3C42"/>
    <w:rsid w:val="003C4E53"/>
    <w:rsid w:val="003C5344"/>
    <w:rsid w:val="003C5B25"/>
    <w:rsid w:val="003C7EE9"/>
    <w:rsid w:val="003D1868"/>
    <w:rsid w:val="003D215E"/>
    <w:rsid w:val="003D2C1A"/>
    <w:rsid w:val="003D3BAC"/>
    <w:rsid w:val="003D71D9"/>
    <w:rsid w:val="003D7293"/>
    <w:rsid w:val="003E051E"/>
    <w:rsid w:val="003E0D37"/>
    <w:rsid w:val="003E4CC6"/>
    <w:rsid w:val="003E591D"/>
    <w:rsid w:val="003E6E99"/>
    <w:rsid w:val="003E7446"/>
    <w:rsid w:val="003F1CB3"/>
    <w:rsid w:val="003F2D8D"/>
    <w:rsid w:val="003F3D23"/>
    <w:rsid w:val="003F4907"/>
    <w:rsid w:val="003F4C2C"/>
    <w:rsid w:val="00405816"/>
    <w:rsid w:val="00406576"/>
    <w:rsid w:val="00406B80"/>
    <w:rsid w:val="00407218"/>
    <w:rsid w:val="0040742A"/>
    <w:rsid w:val="00407EA1"/>
    <w:rsid w:val="00415B17"/>
    <w:rsid w:val="00415D04"/>
    <w:rsid w:val="00416587"/>
    <w:rsid w:val="004165F3"/>
    <w:rsid w:val="004176B5"/>
    <w:rsid w:val="00417C12"/>
    <w:rsid w:val="00417DD0"/>
    <w:rsid w:val="00421634"/>
    <w:rsid w:val="0042223B"/>
    <w:rsid w:val="00422CCC"/>
    <w:rsid w:val="00423550"/>
    <w:rsid w:val="00424A3A"/>
    <w:rsid w:val="00425433"/>
    <w:rsid w:val="004255D0"/>
    <w:rsid w:val="00430BC7"/>
    <w:rsid w:val="00431269"/>
    <w:rsid w:val="00432662"/>
    <w:rsid w:val="00432720"/>
    <w:rsid w:val="0043394E"/>
    <w:rsid w:val="00433FC2"/>
    <w:rsid w:val="004345A1"/>
    <w:rsid w:val="00434DB3"/>
    <w:rsid w:val="004363B6"/>
    <w:rsid w:val="00436767"/>
    <w:rsid w:val="00440DB8"/>
    <w:rsid w:val="004412C9"/>
    <w:rsid w:val="00441840"/>
    <w:rsid w:val="00442F88"/>
    <w:rsid w:val="00443439"/>
    <w:rsid w:val="00443E09"/>
    <w:rsid w:val="004450A1"/>
    <w:rsid w:val="00452BC9"/>
    <w:rsid w:val="00456560"/>
    <w:rsid w:val="00456D4A"/>
    <w:rsid w:val="004617D9"/>
    <w:rsid w:val="00461B3F"/>
    <w:rsid w:val="00462333"/>
    <w:rsid w:val="004649DE"/>
    <w:rsid w:val="0046664B"/>
    <w:rsid w:val="0046691A"/>
    <w:rsid w:val="00466B60"/>
    <w:rsid w:val="00467100"/>
    <w:rsid w:val="0046746D"/>
    <w:rsid w:val="004705A4"/>
    <w:rsid w:val="0047084E"/>
    <w:rsid w:val="004709E0"/>
    <w:rsid w:val="0047124D"/>
    <w:rsid w:val="00471518"/>
    <w:rsid w:val="00471DC9"/>
    <w:rsid w:val="004724C7"/>
    <w:rsid w:val="0047258A"/>
    <w:rsid w:val="00473AE8"/>
    <w:rsid w:val="0047439D"/>
    <w:rsid w:val="004755B9"/>
    <w:rsid w:val="0047736E"/>
    <w:rsid w:val="00477E5F"/>
    <w:rsid w:val="00483745"/>
    <w:rsid w:val="00485C68"/>
    <w:rsid w:val="004866DB"/>
    <w:rsid w:val="004871E8"/>
    <w:rsid w:val="0048768B"/>
    <w:rsid w:val="00491119"/>
    <w:rsid w:val="00492457"/>
    <w:rsid w:val="0049337F"/>
    <w:rsid w:val="00493D61"/>
    <w:rsid w:val="004A1840"/>
    <w:rsid w:val="004A4652"/>
    <w:rsid w:val="004A4C64"/>
    <w:rsid w:val="004A55A3"/>
    <w:rsid w:val="004A57E1"/>
    <w:rsid w:val="004B07CC"/>
    <w:rsid w:val="004B0865"/>
    <w:rsid w:val="004B24AC"/>
    <w:rsid w:val="004B76E7"/>
    <w:rsid w:val="004C0438"/>
    <w:rsid w:val="004C17CF"/>
    <w:rsid w:val="004C319A"/>
    <w:rsid w:val="004C35CE"/>
    <w:rsid w:val="004C3696"/>
    <w:rsid w:val="004C4A1F"/>
    <w:rsid w:val="004C5441"/>
    <w:rsid w:val="004C581F"/>
    <w:rsid w:val="004C65FE"/>
    <w:rsid w:val="004C6EBD"/>
    <w:rsid w:val="004C6F16"/>
    <w:rsid w:val="004C72B8"/>
    <w:rsid w:val="004C7A71"/>
    <w:rsid w:val="004D0BF0"/>
    <w:rsid w:val="004D1BA8"/>
    <w:rsid w:val="004D2441"/>
    <w:rsid w:val="004D2B41"/>
    <w:rsid w:val="004D304D"/>
    <w:rsid w:val="004D307B"/>
    <w:rsid w:val="004D3693"/>
    <w:rsid w:val="004D4418"/>
    <w:rsid w:val="004D4774"/>
    <w:rsid w:val="004D7364"/>
    <w:rsid w:val="004E01A4"/>
    <w:rsid w:val="004E0551"/>
    <w:rsid w:val="004E0DE6"/>
    <w:rsid w:val="004E39D7"/>
    <w:rsid w:val="004E6113"/>
    <w:rsid w:val="004F0618"/>
    <w:rsid w:val="004F093F"/>
    <w:rsid w:val="004F224A"/>
    <w:rsid w:val="00501F73"/>
    <w:rsid w:val="0050280A"/>
    <w:rsid w:val="005040BC"/>
    <w:rsid w:val="005061A8"/>
    <w:rsid w:val="0051083B"/>
    <w:rsid w:val="00516163"/>
    <w:rsid w:val="00516AC1"/>
    <w:rsid w:val="005174F4"/>
    <w:rsid w:val="00521562"/>
    <w:rsid w:val="00523D64"/>
    <w:rsid w:val="005242DB"/>
    <w:rsid w:val="0052491F"/>
    <w:rsid w:val="0052531B"/>
    <w:rsid w:val="00525AE6"/>
    <w:rsid w:val="0052668C"/>
    <w:rsid w:val="0052692D"/>
    <w:rsid w:val="005269FF"/>
    <w:rsid w:val="00533628"/>
    <w:rsid w:val="005352B2"/>
    <w:rsid w:val="00537B37"/>
    <w:rsid w:val="00540C4B"/>
    <w:rsid w:val="005424C7"/>
    <w:rsid w:val="00542753"/>
    <w:rsid w:val="005427AD"/>
    <w:rsid w:val="0054292C"/>
    <w:rsid w:val="00542ACA"/>
    <w:rsid w:val="005448C4"/>
    <w:rsid w:val="0054541B"/>
    <w:rsid w:val="00545AEE"/>
    <w:rsid w:val="005474CC"/>
    <w:rsid w:val="005503CA"/>
    <w:rsid w:val="00551C39"/>
    <w:rsid w:val="00553DA9"/>
    <w:rsid w:val="005548DE"/>
    <w:rsid w:val="00556802"/>
    <w:rsid w:val="00556CF9"/>
    <w:rsid w:val="005579C4"/>
    <w:rsid w:val="005608C3"/>
    <w:rsid w:val="00561D2C"/>
    <w:rsid w:val="005627E3"/>
    <w:rsid w:val="00564B84"/>
    <w:rsid w:val="00570B33"/>
    <w:rsid w:val="00570CB5"/>
    <w:rsid w:val="00570CCF"/>
    <w:rsid w:val="00572C2A"/>
    <w:rsid w:val="00573DF4"/>
    <w:rsid w:val="00574CC1"/>
    <w:rsid w:val="0057523A"/>
    <w:rsid w:val="0058171E"/>
    <w:rsid w:val="00583346"/>
    <w:rsid w:val="00585AE1"/>
    <w:rsid w:val="0058623C"/>
    <w:rsid w:val="00590127"/>
    <w:rsid w:val="005914EF"/>
    <w:rsid w:val="005918C6"/>
    <w:rsid w:val="00593C0D"/>
    <w:rsid w:val="00594FAF"/>
    <w:rsid w:val="00595F5C"/>
    <w:rsid w:val="00596319"/>
    <w:rsid w:val="0059650B"/>
    <w:rsid w:val="00596C32"/>
    <w:rsid w:val="00596F2F"/>
    <w:rsid w:val="005976CB"/>
    <w:rsid w:val="00597D1F"/>
    <w:rsid w:val="005A0461"/>
    <w:rsid w:val="005A060E"/>
    <w:rsid w:val="005A23E3"/>
    <w:rsid w:val="005A380D"/>
    <w:rsid w:val="005A3ED2"/>
    <w:rsid w:val="005A4122"/>
    <w:rsid w:val="005A54C5"/>
    <w:rsid w:val="005A5510"/>
    <w:rsid w:val="005A7542"/>
    <w:rsid w:val="005A7C39"/>
    <w:rsid w:val="005B0F7A"/>
    <w:rsid w:val="005B2B38"/>
    <w:rsid w:val="005B3473"/>
    <w:rsid w:val="005B443F"/>
    <w:rsid w:val="005B4AE7"/>
    <w:rsid w:val="005B60FF"/>
    <w:rsid w:val="005C0D09"/>
    <w:rsid w:val="005C1296"/>
    <w:rsid w:val="005C191C"/>
    <w:rsid w:val="005C1F76"/>
    <w:rsid w:val="005C234A"/>
    <w:rsid w:val="005C3610"/>
    <w:rsid w:val="005C431C"/>
    <w:rsid w:val="005C50B6"/>
    <w:rsid w:val="005C5DF8"/>
    <w:rsid w:val="005C618C"/>
    <w:rsid w:val="005D1350"/>
    <w:rsid w:val="005D79C0"/>
    <w:rsid w:val="005E15DC"/>
    <w:rsid w:val="005E3794"/>
    <w:rsid w:val="005E4675"/>
    <w:rsid w:val="005E541B"/>
    <w:rsid w:val="005E62A2"/>
    <w:rsid w:val="005F43D5"/>
    <w:rsid w:val="005F59A9"/>
    <w:rsid w:val="005F6754"/>
    <w:rsid w:val="005F7D72"/>
    <w:rsid w:val="005F7D7B"/>
    <w:rsid w:val="006015B8"/>
    <w:rsid w:val="00601C2B"/>
    <w:rsid w:val="00601E54"/>
    <w:rsid w:val="00603920"/>
    <w:rsid w:val="0060404C"/>
    <w:rsid w:val="00604BE6"/>
    <w:rsid w:val="00604D99"/>
    <w:rsid w:val="006065E1"/>
    <w:rsid w:val="00607C73"/>
    <w:rsid w:val="006128B8"/>
    <w:rsid w:val="00616DB6"/>
    <w:rsid w:val="00616EAC"/>
    <w:rsid w:val="0061725F"/>
    <w:rsid w:val="00617622"/>
    <w:rsid w:val="00620CEB"/>
    <w:rsid w:val="00621295"/>
    <w:rsid w:val="00621E4F"/>
    <w:rsid w:val="00622AF4"/>
    <w:rsid w:val="0062404B"/>
    <w:rsid w:val="006248BF"/>
    <w:rsid w:val="00627EA4"/>
    <w:rsid w:val="006315FE"/>
    <w:rsid w:val="0063425B"/>
    <w:rsid w:val="006363D1"/>
    <w:rsid w:val="006368C6"/>
    <w:rsid w:val="00640736"/>
    <w:rsid w:val="006410BE"/>
    <w:rsid w:val="00644B5B"/>
    <w:rsid w:val="00647EA2"/>
    <w:rsid w:val="006509BB"/>
    <w:rsid w:val="00650FAE"/>
    <w:rsid w:val="00652044"/>
    <w:rsid w:val="00652AF9"/>
    <w:rsid w:val="00654583"/>
    <w:rsid w:val="0065482D"/>
    <w:rsid w:val="006554DA"/>
    <w:rsid w:val="00657B6C"/>
    <w:rsid w:val="00660DCF"/>
    <w:rsid w:val="00662A4E"/>
    <w:rsid w:val="0066357C"/>
    <w:rsid w:val="0066365A"/>
    <w:rsid w:val="00663CC0"/>
    <w:rsid w:val="00663D4E"/>
    <w:rsid w:val="00664EC9"/>
    <w:rsid w:val="00666E73"/>
    <w:rsid w:val="006712AA"/>
    <w:rsid w:val="00671606"/>
    <w:rsid w:val="0067482B"/>
    <w:rsid w:val="00674CB8"/>
    <w:rsid w:val="006750FA"/>
    <w:rsid w:val="00675500"/>
    <w:rsid w:val="00675D77"/>
    <w:rsid w:val="00676092"/>
    <w:rsid w:val="0067647D"/>
    <w:rsid w:val="00676ED0"/>
    <w:rsid w:val="006801AE"/>
    <w:rsid w:val="00680354"/>
    <w:rsid w:val="006814C3"/>
    <w:rsid w:val="006816A9"/>
    <w:rsid w:val="00681B3F"/>
    <w:rsid w:val="00681C4A"/>
    <w:rsid w:val="00683E3E"/>
    <w:rsid w:val="00683F1D"/>
    <w:rsid w:val="00684B51"/>
    <w:rsid w:val="00684E34"/>
    <w:rsid w:val="00685BDE"/>
    <w:rsid w:val="00686C47"/>
    <w:rsid w:val="00687DDD"/>
    <w:rsid w:val="00690438"/>
    <w:rsid w:val="00690C13"/>
    <w:rsid w:val="00695B55"/>
    <w:rsid w:val="006974AA"/>
    <w:rsid w:val="006974D2"/>
    <w:rsid w:val="0069775B"/>
    <w:rsid w:val="006A0118"/>
    <w:rsid w:val="006A0562"/>
    <w:rsid w:val="006A1610"/>
    <w:rsid w:val="006A2A6A"/>
    <w:rsid w:val="006A38C2"/>
    <w:rsid w:val="006A3EDB"/>
    <w:rsid w:val="006A4E0B"/>
    <w:rsid w:val="006A50F1"/>
    <w:rsid w:val="006A581C"/>
    <w:rsid w:val="006B110F"/>
    <w:rsid w:val="006B2A59"/>
    <w:rsid w:val="006B2A69"/>
    <w:rsid w:val="006B3C44"/>
    <w:rsid w:val="006B586E"/>
    <w:rsid w:val="006B65BB"/>
    <w:rsid w:val="006C0B2D"/>
    <w:rsid w:val="006C2BE4"/>
    <w:rsid w:val="006C2C2B"/>
    <w:rsid w:val="006C36D3"/>
    <w:rsid w:val="006C40E3"/>
    <w:rsid w:val="006C4B24"/>
    <w:rsid w:val="006C4BF3"/>
    <w:rsid w:val="006C5D63"/>
    <w:rsid w:val="006C65DD"/>
    <w:rsid w:val="006C7721"/>
    <w:rsid w:val="006D40F8"/>
    <w:rsid w:val="006D6C1E"/>
    <w:rsid w:val="006D6E09"/>
    <w:rsid w:val="006D77CA"/>
    <w:rsid w:val="006E235C"/>
    <w:rsid w:val="006E3A39"/>
    <w:rsid w:val="006E4EE6"/>
    <w:rsid w:val="006E58FE"/>
    <w:rsid w:val="006E6C74"/>
    <w:rsid w:val="006E7722"/>
    <w:rsid w:val="006F593D"/>
    <w:rsid w:val="006F612F"/>
    <w:rsid w:val="007030B7"/>
    <w:rsid w:val="007032FE"/>
    <w:rsid w:val="00703E00"/>
    <w:rsid w:val="00705DAD"/>
    <w:rsid w:val="00706243"/>
    <w:rsid w:val="0070748D"/>
    <w:rsid w:val="00707561"/>
    <w:rsid w:val="007079FB"/>
    <w:rsid w:val="00707DEB"/>
    <w:rsid w:val="007113C5"/>
    <w:rsid w:val="00712A0B"/>
    <w:rsid w:val="00713B20"/>
    <w:rsid w:val="007143CA"/>
    <w:rsid w:val="00714A1F"/>
    <w:rsid w:val="00714DF8"/>
    <w:rsid w:val="007151A9"/>
    <w:rsid w:val="00716080"/>
    <w:rsid w:val="00721088"/>
    <w:rsid w:val="00721D87"/>
    <w:rsid w:val="00725DA5"/>
    <w:rsid w:val="007266E5"/>
    <w:rsid w:val="00726E75"/>
    <w:rsid w:val="00727110"/>
    <w:rsid w:val="00731B11"/>
    <w:rsid w:val="007323E8"/>
    <w:rsid w:val="00733924"/>
    <w:rsid w:val="00734380"/>
    <w:rsid w:val="00734EA0"/>
    <w:rsid w:val="007359E3"/>
    <w:rsid w:val="00737078"/>
    <w:rsid w:val="0074139C"/>
    <w:rsid w:val="007418A5"/>
    <w:rsid w:val="00742E06"/>
    <w:rsid w:val="007434FA"/>
    <w:rsid w:val="0074361F"/>
    <w:rsid w:val="007441D2"/>
    <w:rsid w:val="00745539"/>
    <w:rsid w:val="0074613D"/>
    <w:rsid w:val="00746AB0"/>
    <w:rsid w:val="0074736E"/>
    <w:rsid w:val="0075019A"/>
    <w:rsid w:val="00751FEB"/>
    <w:rsid w:val="007520F4"/>
    <w:rsid w:val="00752C06"/>
    <w:rsid w:val="00752D41"/>
    <w:rsid w:val="00754688"/>
    <w:rsid w:val="00755CED"/>
    <w:rsid w:val="00760025"/>
    <w:rsid w:val="00760EFF"/>
    <w:rsid w:val="00763ABA"/>
    <w:rsid w:val="007649BF"/>
    <w:rsid w:val="00765137"/>
    <w:rsid w:val="00766B9C"/>
    <w:rsid w:val="0076713A"/>
    <w:rsid w:val="00771428"/>
    <w:rsid w:val="00771600"/>
    <w:rsid w:val="007735A6"/>
    <w:rsid w:val="007745A2"/>
    <w:rsid w:val="007748AE"/>
    <w:rsid w:val="007803AB"/>
    <w:rsid w:val="00780FDB"/>
    <w:rsid w:val="00781C4A"/>
    <w:rsid w:val="00781D6D"/>
    <w:rsid w:val="00782208"/>
    <w:rsid w:val="00785BE0"/>
    <w:rsid w:val="00786785"/>
    <w:rsid w:val="00790E43"/>
    <w:rsid w:val="007922E4"/>
    <w:rsid w:val="00792F51"/>
    <w:rsid w:val="007947A3"/>
    <w:rsid w:val="00794F3D"/>
    <w:rsid w:val="00796035"/>
    <w:rsid w:val="007975CF"/>
    <w:rsid w:val="007A1E8C"/>
    <w:rsid w:val="007A253F"/>
    <w:rsid w:val="007A2C0C"/>
    <w:rsid w:val="007A31B3"/>
    <w:rsid w:val="007A3D73"/>
    <w:rsid w:val="007A48E2"/>
    <w:rsid w:val="007A4C7E"/>
    <w:rsid w:val="007A5965"/>
    <w:rsid w:val="007B0041"/>
    <w:rsid w:val="007B5165"/>
    <w:rsid w:val="007B577A"/>
    <w:rsid w:val="007B65CB"/>
    <w:rsid w:val="007B6ABE"/>
    <w:rsid w:val="007B72FA"/>
    <w:rsid w:val="007B76ED"/>
    <w:rsid w:val="007C0DED"/>
    <w:rsid w:val="007C11DC"/>
    <w:rsid w:val="007C1647"/>
    <w:rsid w:val="007C29A0"/>
    <w:rsid w:val="007C3C57"/>
    <w:rsid w:val="007C4B0B"/>
    <w:rsid w:val="007C52A3"/>
    <w:rsid w:val="007C52E9"/>
    <w:rsid w:val="007C6420"/>
    <w:rsid w:val="007D4099"/>
    <w:rsid w:val="007D4828"/>
    <w:rsid w:val="007D4902"/>
    <w:rsid w:val="007D5BE6"/>
    <w:rsid w:val="007D6B38"/>
    <w:rsid w:val="007D6ED1"/>
    <w:rsid w:val="007D7FC9"/>
    <w:rsid w:val="007E0337"/>
    <w:rsid w:val="007E1225"/>
    <w:rsid w:val="007E1D30"/>
    <w:rsid w:val="007E2A08"/>
    <w:rsid w:val="007E2B56"/>
    <w:rsid w:val="007E561F"/>
    <w:rsid w:val="007E5BCC"/>
    <w:rsid w:val="007E6F34"/>
    <w:rsid w:val="007E737A"/>
    <w:rsid w:val="007F0B77"/>
    <w:rsid w:val="007F1A14"/>
    <w:rsid w:val="007F20B8"/>
    <w:rsid w:val="007F4271"/>
    <w:rsid w:val="007F5637"/>
    <w:rsid w:val="007F5888"/>
    <w:rsid w:val="007F5D4B"/>
    <w:rsid w:val="007F7411"/>
    <w:rsid w:val="007F79AE"/>
    <w:rsid w:val="00800829"/>
    <w:rsid w:val="0080136B"/>
    <w:rsid w:val="008027B9"/>
    <w:rsid w:val="00802B8E"/>
    <w:rsid w:val="00805269"/>
    <w:rsid w:val="00805878"/>
    <w:rsid w:val="008069E4"/>
    <w:rsid w:val="00811548"/>
    <w:rsid w:val="0081235E"/>
    <w:rsid w:val="008139EF"/>
    <w:rsid w:val="008147F7"/>
    <w:rsid w:val="0081593A"/>
    <w:rsid w:val="008166D6"/>
    <w:rsid w:val="008217C0"/>
    <w:rsid w:val="008227CA"/>
    <w:rsid w:val="00822CE1"/>
    <w:rsid w:val="00822E1C"/>
    <w:rsid w:val="00824AE0"/>
    <w:rsid w:val="0082515B"/>
    <w:rsid w:val="00825754"/>
    <w:rsid w:val="00826BC8"/>
    <w:rsid w:val="0083023C"/>
    <w:rsid w:val="008307B1"/>
    <w:rsid w:val="0083092A"/>
    <w:rsid w:val="00831E89"/>
    <w:rsid w:val="008320A8"/>
    <w:rsid w:val="00832228"/>
    <w:rsid w:val="00833BD6"/>
    <w:rsid w:val="008347F3"/>
    <w:rsid w:val="00836EE5"/>
    <w:rsid w:val="00840A58"/>
    <w:rsid w:val="00841669"/>
    <w:rsid w:val="00841EF6"/>
    <w:rsid w:val="00842A33"/>
    <w:rsid w:val="008439DE"/>
    <w:rsid w:val="00843AB4"/>
    <w:rsid w:val="00843EA6"/>
    <w:rsid w:val="008455C7"/>
    <w:rsid w:val="00845897"/>
    <w:rsid w:val="00846A03"/>
    <w:rsid w:val="00846FD5"/>
    <w:rsid w:val="00847DED"/>
    <w:rsid w:val="00850203"/>
    <w:rsid w:val="0085200F"/>
    <w:rsid w:val="0085407F"/>
    <w:rsid w:val="008545E8"/>
    <w:rsid w:val="00855880"/>
    <w:rsid w:val="00855C0A"/>
    <w:rsid w:val="00856018"/>
    <w:rsid w:val="00857244"/>
    <w:rsid w:val="00857EEE"/>
    <w:rsid w:val="00861AB6"/>
    <w:rsid w:val="008631A9"/>
    <w:rsid w:val="0086394B"/>
    <w:rsid w:val="00863E18"/>
    <w:rsid w:val="00864141"/>
    <w:rsid w:val="00864A26"/>
    <w:rsid w:val="00864ED3"/>
    <w:rsid w:val="0086586A"/>
    <w:rsid w:val="008659AA"/>
    <w:rsid w:val="00865A94"/>
    <w:rsid w:val="0086683C"/>
    <w:rsid w:val="00870D14"/>
    <w:rsid w:val="00872547"/>
    <w:rsid w:val="00874FDE"/>
    <w:rsid w:val="00880693"/>
    <w:rsid w:val="00881F75"/>
    <w:rsid w:val="00882797"/>
    <w:rsid w:val="00884389"/>
    <w:rsid w:val="008908B8"/>
    <w:rsid w:val="00893C00"/>
    <w:rsid w:val="00895A52"/>
    <w:rsid w:val="008A100B"/>
    <w:rsid w:val="008A143B"/>
    <w:rsid w:val="008A1AB0"/>
    <w:rsid w:val="008A38C2"/>
    <w:rsid w:val="008A4B7F"/>
    <w:rsid w:val="008A57E9"/>
    <w:rsid w:val="008A61AC"/>
    <w:rsid w:val="008A6DE3"/>
    <w:rsid w:val="008A7829"/>
    <w:rsid w:val="008B02A7"/>
    <w:rsid w:val="008B5D60"/>
    <w:rsid w:val="008C0E5F"/>
    <w:rsid w:val="008C2DA8"/>
    <w:rsid w:val="008C4504"/>
    <w:rsid w:val="008C69F3"/>
    <w:rsid w:val="008C782A"/>
    <w:rsid w:val="008D0766"/>
    <w:rsid w:val="008D216B"/>
    <w:rsid w:val="008D2916"/>
    <w:rsid w:val="008D2E99"/>
    <w:rsid w:val="008D3248"/>
    <w:rsid w:val="008D41CA"/>
    <w:rsid w:val="008D566F"/>
    <w:rsid w:val="008D573C"/>
    <w:rsid w:val="008D5FCB"/>
    <w:rsid w:val="008E02E1"/>
    <w:rsid w:val="008E0F15"/>
    <w:rsid w:val="008E1E6D"/>
    <w:rsid w:val="008E1FC9"/>
    <w:rsid w:val="008E4874"/>
    <w:rsid w:val="008E7249"/>
    <w:rsid w:val="008E7959"/>
    <w:rsid w:val="008F0828"/>
    <w:rsid w:val="008F43EA"/>
    <w:rsid w:val="008F7B54"/>
    <w:rsid w:val="008F7D62"/>
    <w:rsid w:val="00901104"/>
    <w:rsid w:val="00901649"/>
    <w:rsid w:val="0090288D"/>
    <w:rsid w:val="00905040"/>
    <w:rsid w:val="00906C82"/>
    <w:rsid w:val="00910B16"/>
    <w:rsid w:val="009121AD"/>
    <w:rsid w:val="00912687"/>
    <w:rsid w:val="00912B15"/>
    <w:rsid w:val="00915330"/>
    <w:rsid w:val="00916BAA"/>
    <w:rsid w:val="00916D31"/>
    <w:rsid w:val="00917908"/>
    <w:rsid w:val="00921D26"/>
    <w:rsid w:val="009230A2"/>
    <w:rsid w:val="00925617"/>
    <w:rsid w:val="00925E79"/>
    <w:rsid w:val="00926384"/>
    <w:rsid w:val="0092735A"/>
    <w:rsid w:val="009276F7"/>
    <w:rsid w:val="009312F1"/>
    <w:rsid w:val="009315E5"/>
    <w:rsid w:val="00933A49"/>
    <w:rsid w:val="0093484C"/>
    <w:rsid w:val="00936C39"/>
    <w:rsid w:val="00937499"/>
    <w:rsid w:val="009379AF"/>
    <w:rsid w:val="009406B0"/>
    <w:rsid w:val="00941133"/>
    <w:rsid w:val="009416CF"/>
    <w:rsid w:val="00942BB1"/>
    <w:rsid w:val="009430E1"/>
    <w:rsid w:val="00943C97"/>
    <w:rsid w:val="0094481D"/>
    <w:rsid w:val="0094507A"/>
    <w:rsid w:val="0094545B"/>
    <w:rsid w:val="009456D4"/>
    <w:rsid w:val="00945A79"/>
    <w:rsid w:val="009505D2"/>
    <w:rsid w:val="009508B4"/>
    <w:rsid w:val="00950DA0"/>
    <w:rsid w:val="0095123B"/>
    <w:rsid w:val="00952357"/>
    <w:rsid w:val="009527BD"/>
    <w:rsid w:val="00954317"/>
    <w:rsid w:val="00954D9F"/>
    <w:rsid w:val="00955F31"/>
    <w:rsid w:val="00956C2E"/>
    <w:rsid w:val="00960D10"/>
    <w:rsid w:val="0096104A"/>
    <w:rsid w:val="009613BE"/>
    <w:rsid w:val="009623E4"/>
    <w:rsid w:val="00963D55"/>
    <w:rsid w:val="009649C2"/>
    <w:rsid w:val="00967451"/>
    <w:rsid w:val="00972039"/>
    <w:rsid w:val="009725D9"/>
    <w:rsid w:val="009730AD"/>
    <w:rsid w:val="0097372E"/>
    <w:rsid w:val="00975939"/>
    <w:rsid w:val="00975ED0"/>
    <w:rsid w:val="00976186"/>
    <w:rsid w:val="009764CA"/>
    <w:rsid w:val="00976F0D"/>
    <w:rsid w:val="00987518"/>
    <w:rsid w:val="00987F2A"/>
    <w:rsid w:val="00990205"/>
    <w:rsid w:val="009903FC"/>
    <w:rsid w:val="00990A77"/>
    <w:rsid w:val="00992143"/>
    <w:rsid w:val="009934D6"/>
    <w:rsid w:val="00993DAE"/>
    <w:rsid w:val="00994461"/>
    <w:rsid w:val="0099552A"/>
    <w:rsid w:val="00995572"/>
    <w:rsid w:val="00995BFF"/>
    <w:rsid w:val="00995F59"/>
    <w:rsid w:val="009964D1"/>
    <w:rsid w:val="009970CE"/>
    <w:rsid w:val="0099746F"/>
    <w:rsid w:val="009A06CA"/>
    <w:rsid w:val="009A1178"/>
    <w:rsid w:val="009A3662"/>
    <w:rsid w:val="009A4B82"/>
    <w:rsid w:val="009A5406"/>
    <w:rsid w:val="009A5DAE"/>
    <w:rsid w:val="009A73CE"/>
    <w:rsid w:val="009B1175"/>
    <w:rsid w:val="009B1F48"/>
    <w:rsid w:val="009B3384"/>
    <w:rsid w:val="009B34D6"/>
    <w:rsid w:val="009B5EA6"/>
    <w:rsid w:val="009C05A5"/>
    <w:rsid w:val="009C0D40"/>
    <w:rsid w:val="009C1230"/>
    <w:rsid w:val="009C23CB"/>
    <w:rsid w:val="009C37FF"/>
    <w:rsid w:val="009C38A8"/>
    <w:rsid w:val="009C519D"/>
    <w:rsid w:val="009C5C61"/>
    <w:rsid w:val="009D014D"/>
    <w:rsid w:val="009D2189"/>
    <w:rsid w:val="009D3519"/>
    <w:rsid w:val="009D39FE"/>
    <w:rsid w:val="009D6FCA"/>
    <w:rsid w:val="009D7B03"/>
    <w:rsid w:val="009E2F59"/>
    <w:rsid w:val="009F08B2"/>
    <w:rsid w:val="009F0964"/>
    <w:rsid w:val="009F1BC7"/>
    <w:rsid w:val="009F1DE2"/>
    <w:rsid w:val="009F2543"/>
    <w:rsid w:val="009F3143"/>
    <w:rsid w:val="009F6F6D"/>
    <w:rsid w:val="00A00345"/>
    <w:rsid w:val="00A00ED3"/>
    <w:rsid w:val="00A0342E"/>
    <w:rsid w:val="00A05284"/>
    <w:rsid w:val="00A05D25"/>
    <w:rsid w:val="00A070A9"/>
    <w:rsid w:val="00A07853"/>
    <w:rsid w:val="00A14D16"/>
    <w:rsid w:val="00A14D7C"/>
    <w:rsid w:val="00A14ECE"/>
    <w:rsid w:val="00A23A0E"/>
    <w:rsid w:val="00A24217"/>
    <w:rsid w:val="00A24E2E"/>
    <w:rsid w:val="00A27F79"/>
    <w:rsid w:val="00A303B3"/>
    <w:rsid w:val="00A34CFF"/>
    <w:rsid w:val="00A35B59"/>
    <w:rsid w:val="00A3668E"/>
    <w:rsid w:val="00A37D52"/>
    <w:rsid w:val="00A4047E"/>
    <w:rsid w:val="00A41D9A"/>
    <w:rsid w:val="00A44B85"/>
    <w:rsid w:val="00A450CF"/>
    <w:rsid w:val="00A464C3"/>
    <w:rsid w:val="00A47701"/>
    <w:rsid w:val="00A478F9"/>
    <w:rsid w:val="00A5352F"/>
    <w:rsid w:val="00A54BD3"/>
    <w:rsid w:val="00A60030"/>
    <w:rsid w:val="00A60364"/>
    <w:rsid w:val="00A60F0F"/>
    <w:rsid w:val="00A64C93"/>
    <w:rsid w:val="00A65829"/>
    <w:rsid w:val="00A658A7"/>
    <w:rsid w:val="00A65D34"/>
    <w:rsid w:val="00A71471"/>
    <w:rsid w:val="00A7282E"/>
    <w:rsid w:val="00A74C04"/>
    <w:rsid w:val="00A758EF"/>
    <w:rsid w:val="00A80525"/>
    <w:rsid w:val="00A80A75"/>
    <w:rsid w:val="00A81C1E"/>
    <w:rsid w:val="00A81EB6"/>
    <w:rsid w:val="00A822E0"/>
    <w:rsid w:val="00A90BE5"/>
    <w:rsid w:val="00A90E7D"/>
    <w:rsid w:val="00A92602"/>
    <w:rsid w:val="00A9267E"/>
    <w:rsid w:val="00A9436E"/>
    <w:rsid w:val="00A953B5"/>
    <w:rsid w:val="00A955FC"/>
    <w:rsid w:val="00AA0E25"/>
    <w:rsid w:val="00AA34C3"/>
    <w:rsid w:val="00AA3514"/>
    <w:rsid w:val="00AA35D3"/>
    <w:rsid w:val="00AA3C62"/>
    <w:rsid w:val="00AA443C"/>
    <w:rsid w:val="00AB01F6"/>
    <w:rsid w:val="00AB0E56"/>
    <w:rsid w:val="00AB0F30"/>
    <w:rsid w:val="00AB18C3"/>
    <w:rsid w:val="00AB2E48"/>
    <w:rsid w:val="00AB3642"/>
    <w:rsid w:val="00AB4B2E"/>
    <w:rsid w:val="00AB60CC"/>
    <w:rsid w:val="00AC36B4"/>
    <w:rsid w:val="00AC5639"/>
    <w:rsid w:val="00AC6029"/>
    <w:rsid w:val="00AC6952"/>
    <w:rsid w:val="00AD1002"/>
    <w:rsid w:val="00AD1CB3"/>
    <w:rsid w:val="00AD1E41"/>
    <w:rsid w:val="00AD39B3"/>
    <w:rsid w:val="00AD45AC"/>
    <w:rsid w:val="00AD46E4"/>
    <w:rsid w:val="00AD4A48"/>
    <w:rsid w:val="00AD601B"/>
    <w:rsid w:val="00AE0EC6"/>
    <w:rsid w:val="00AE0EFF"/>
    <w:rsid w:val="00AE1D53"/>
    <w:rsid w:val="00AE2D93"/>
    <w:rsid w:val="00AE58CA"/>
    <w:rsid w:val="00AE5E99"/>
    <w:rsid w:val="00AE65D8"/>
    <w:rsid w:val="00AE7EA9"/>
    <w:rsid w:val="00AF002B"/>
    <w:rsid w:val="00AF0E60"/>
    <w:rsid w:val="00AF1477"/>
    <w:rsid w:val="00AF2E5A"/>
    <w:rsid w:val="00AF345F"/>
    <w:rsid w:val="00AF59B0"/>
    <w:rsid w:val="00AF6457"/>
    <w:rsid w:val="00AF674F"/>
    <w:rsid w:val="00AF6FCE"/>
    <w:rsid w:val="00B015BA"/>
    <w:rsid w:val="00B01C29"/>
    <w:rsid w:val="00B02B98"/>
    <w:rsid w:val="00B040D2"/>
    <w:rsid w:val="00B05947"/>
    <w:rsid w:val="00B065F7"/>
    <w:rsid w:val="00B06F44"/>
    <w:rsid w:val="00B0753F"/>
    <w:rsid w:val="00B076E7"/>
    <w:rsid w:val="00B101F4"/>
    <w:rsid w:val="00B130B3"/>
    <w:rsid w:val="00B13E45"/>
    <w:rsid w:val="00B14B72"/>
    <w:rsid w:val="00B17A62"/>
    <w:rsid w:val="00B20C9C"/>
    <w:rsid w:val="00B21F09"/>
    <w:rsid w:val="00B21F18"/>
    <w:rsid w:val="00B23A94"/>
    <w:rsid w:val="00B23B1D"/>
    <w:rsid w:val="00B261CC"/>
    <w:rsid w:val="00B264C5"/>
    <w:rsid w:val="00B31793"/>
    <w:rsid w:val="00B33612"/>
    <w:rsid w:val="00B3482A"/>
    <w:rsid w:val="00B363AA"/>
    <w:rsid w:val="00B375EB"/>
    <w:rsid w:val="00B411B8"/>
    <w:rsid w:val="00B43B85"/>
    <w:rsid w:val="00B441F7"/>
    <w:rsid w:val="00B519E6"/>
    <w:rsid w:val="00B576F3"/>
    <w:rsid w:val="00B60375"/>
    <w:rsid w:val="00B60376"/>
    <w:rsid w:val="00B605E6"/>
    <w:rsid w:val="00B60D5F"/>
    <w:rsid w:val="00B62425"/>
    <w:rsid w:val="00B6266D"/>
    <w:rsid w:val="00B64DAB"/>
    <w:rsid w:val="00B65A40"/>
    <w:rsid w:val="00B6740D"/>
    <w:rsid w:val="00B72712"/>
    <w:rsid w:val="00B7520C"/>
    <w:rsid w:val="00B75DD7"/>
    <w:rsid w:val="00B7697C"/>
    <w:rsid w:val="00B76C67"/>
    <w:rsid w:val="00B8245C"/>
    <w:rsid w:val="00B84F3D"/>
    <w:rsid w:val="00B859C2"/>
    <w:rsid w:val="00B85C27"/>
    <w:rsid w:val="00B8714C"/>
    <w:rsid w:val="00B91EFF"/>
    <w:rsid w:val="00B925C3"/>
    <w:rsid w:val="00B92C4E"/>
    <w:rsid w:val="00B93FBF"/>
    <w:rsid w:val="00B94F40"/>
    <w:rsid w:val="00B95699"/>
    <w:rsid w:val="00B96913"/>
    <w:rsid w:val="00B9771D"/>
    <w:rsid w:val="00BA0C93"/>
    <w:rsid w:val="00BA272D"/>
    <w:rsid w:val="00BA35E0"/>
    <w:rsid w:val="00BA4318"/>
    <w:rsid w:val="00BA5853"/>
    <w:rsid w:val="00BA5D22"/>
    <w:rsid w:val="00BA7149"/>
    <w:rsid w:val="00BA74C6"/>
    <w:rsid w:val="00BB24C9"/>
    <w:rsid w:val="00BB666C"/>
    <w:rsid w:val="00BB725C"/>
    <w:rsid w:val="00BB744F"/>
    <w:rsid w:val="00BC10CB"/>
    <w:rsid w:val="00BC282E"/>
    <w:rsid w:val="00BC2F50"/>
    <w:rsid w:val="00BC3944"/>
    <w:rsid w:val="00BC5B1A"/>
    <w:rsid w:val="00BC6DA9"/>
    <w:rsid w:val="00BC75C5"/>
    <w:rsid w:val="00BC79B9"/>
    <w:rsid w:val="00BD035C"/>
    <w:rsid w:val="00BD0C10"/>
    <w:rsid w:val="00BD2106"/>
    <w:rsid w:val="00BD2B94"/>
    <w:rsid w:val="00BD3224"/>
    <w:rsid w:val="00BD368F"/>
    <w:rsid w:val="00BD637E"/>
    <w:rsid w:val="00BD695C"/>
    <w:rsid w:val="00BD6E99"/>
    <w:rsid w:val="00BE0C2D"/>
    <w:rsid w:val="00BE4D47"/>
    <w:rsid w:val="00BE71A6"/>
    <w:rsid w:val="00BE72ED"/>
    <w:rsid w:val="00BE7B1E"/>
    <w:rsid w:val="00BF0D70"/>
    <w:rsid w:val="00BF0EB5"/>
    <w:rsid w:val="00BF1FFF"/>
    <w:rsid w:val="00BF2ADA"/>
    <w:rsid w:val="00BF553E"/>
    <w:rsid w:val="00BF6292"/>
    <w:rsid w:val="00BF63E5"/>
    <w:rsid w:val="00BF70C8"/>
    <w:rsid w:val="00BF760D"/>
    <w:rsid w:val="00BF77C7"/>
    <w:rsid w:val="00BF7AC6"/>
    <w:rsid w:val="00C00637"/>
    <w:rsid w:val="00C01EE2"/>
    <w:rsid w:val="00C045FF"/>
    <w:rsid w:val="00C05CEE"/>
    <w:rsid w:val="00C10676"/>
    <w:rsid w:val="00C10C81"/>
    <w:rsid w:val="00C12B75"/>
    <w:rsid w:val="00C12B91"/>
    <w:rsid w:val="00C20157"/>
    <w:rsid w:val="00C20A7D"/>
    <w:rsid w:val="00C261AD"/>
    <w:rsid w:val="00C266A5"/>
    <w:rsid w:val="00C27F38"/>
    <w:rsid w:val="00C30546"/>
    <w:rsid w:val="00C3283F"/>
    <w:rsid w:val="00C33229"/>
    <w:rsid w:val="00C33631"/>
    <w:rsid w:val="00C3435F"/>
    <w:rsid w:val="00C34869"/>
    <w:rsid w:val="00C3793B"/>
    <w:rsid w:val="00C42150"/>
    <w:rsid w:val="00C43ABB"/>
    <w:rsid w:val="00C44001"/>
    <w:rsid w:val="00C452CB"/>
    <w:rsid w:val="00C455F6"/>
    <w:rsid w:val="00C46B53"/>
    <w:rsid w:val="00C51DE9"/>
    <w:rsid w:val="00C520D6"/>
    <w:rsid w:val="00C5290D"/>
    <w:rsid w:val="00C53554"/>
    <w:rsid w:val="00C54601"/>
    <w:rsid w:val="00C548F0"/>
    <w:rsid w:val="00C55377"/>
    <w:rsid w:val="00C554A7"/>
    <w:rsid w:val="00C55639"/>
    <w:rsid w:val="00C56D56"/>
    <w:rsid w:val="00C60DC3"/>
    <w:rsid w:val="00C61AA3"/>
    <w:rsid w:val="00C631AA"/>
    <w:rsid w:val="00C64368"/>
    <w:rsid w:val="00C64801"/>
    <w:rsid w:val="00C64911"/>
    <w:rsid w:val="00C64F3B"/>
    <w:rsid w:val="00C65F8C"/>
    <w:rsid w:val="00C67096"/>
    <w:rsid w:val="00C6799B"/>
    <w:rsid w:val="00C67C06"/>
    <w:rsid w:val="00C70423"/>
    <w:rsid w:val="00C7308A"/>
    <w:rsid w:val="00C81B00"/>
    <w:rsid w:val="00C825D5"/>
    <w:rsid w:val="00C83571"/>
    <w:rsid w:val="00C841F1"/>
    <w:rsid w:val="00C84882"/>
    <w:rsid w:val="00C85697"/>
    <w:rsid w:val="00C85729"/>
    <w:rsid w:val="00C85C5E"/>
    <w:rsid w:val="00C871A9"/>
    <w:rsid w:val="00C90E9B"/>
    <w:rsid w:val="00C92641"/>
    <w:rsid w:val="00C92D5C"/>
    <w:rsid w:val="00C935A6"/>
    <w:rsid w:val="00C93794"/>
    <w:rsid w:val="00C9694D"/>
    <w:rsid w:val="00C97029"/>
    <w:rsid w:val="00C9771A"/>
    <w:rsid w:val="00CA01A8"/>
    <w:rsid w:val="00CA1A90"/>
    <w:rsid w:val="00CA6F44"/>
    <w:rsid w:val="00CA7D5F"/>
    <w:rsid w:val="00CB114E"/>
    <w:rsid w:val="00CB12F5"/>
    <w:rsid w:val="00CB2130"/>
    <w:rsid w:val="00CB354A"/>
    <w:rsid w:val="00CB3F41"/>
    <w:rsid w:val="00CB4EE6"/>
    <w:rsid w:val="00CB7A9C"/>
    <w:rsid w:val="00CC1C6E"/>
    <w:rsid w:val="00CC3693"/>
    <w:rsid w:val="00CC39F3"/>
    <w:rsid w:val="00CC4BC9"/>
    <w:rsid w:val="00CC6FB5"/>
    <w:rsid w:val="00CC7D8A"/>
    <w:rsid w:val="00CD18F8"/>
    <w:rsid w:val="00CD40D7"/>
    <w:rsid w:val="00CD48E5"/>
    <w:rsid w:val="00CD592F"/>
    <w:rsid w:val="00CE1106"/>
    <w:rsid w:val="00CE192B"/>
    <w:rsid w:val="00CE23F3"/>
    <w:rsid w:val="00CE2FF5"/>
    <w:rsid w:val="00CE35B7"/>
    <w:rsid w:val="00CE71D6"/>
    <w:rsid w:val="00CE774E"/>
    <w:rsid w:val="00CF09DF"/>
    <w:rsid w:val="00CF0AEB"/>
    <w:rsid w:val="00CF0DBF"/>
    <w:rsid w:val="00CF4C91"/>
    <w:rsid w:val="00CF6526"/>
    <w:rsid w:val="00CF6B69"/>
    <w:rsid w:val="00CF6DB7"/>
    <w:rsid w:val="00CF703C"/>
    <w:rsid w:val="00D02009"/>
    <w:rsid w:val="00D028D6"/>
    <w:rsid w:val="00D02DEB"/>
    <w:rsid w:val="00D02FC0"/>
    <w:rsid w:val="00D03312"/>
    <w:rsid w:val="00D03BAD"/>
    <w:rsid w:val="00D04B6F"/>
    <w:rsid w:val="00D05438"/>
    <w:rsid w:val="00D070ED"/>
    <w:rsid w:val="00D100A9"/>
    <w:rsid w:val="00D109CA"/>
    <w:rsid w:val="00D10A02"/>
    <w:rsid w:val="00D10AE6"/>
    <w:rsid w:val="00D10E23"/>
    <w:rsid w:val="00D15E2D"/>
    <w:rsid w:val="00D16DF0"/>
    <w:rsid w:val="00D20262"/>
    <w:rsid w:val="00D20F72"/>
    <w:rsid w:val="00D21CC4"/>
    <w:rsid w:val="00D22091"/>
    <w:rsid w:val="00D2307D"/>
    <w:rsid w:val="00D23706"/>
    <w:rsid w:val="00D23E37"/>
    <w:rsid w:val="00D23F35"/>
    <w:rsid w:val="00D24104"/>
    <w:rsid w:val="00D2439A"/>
    <w:rsid w:val="00D24BF6"/>
    <w:rsid w:val="00D2631C"/>
    <w:rsid w:val="00D33347"/>
    <w:rsid w:val="00D3362A"/>
    <w:rsid w:val="00D35033"/>
    <w:rsid w:val="00D352D1"/>
    <w:rsid w:val="00D352F3"/>
    <w:rsid w:val="00D400E2"/>
    <w:rsid w:val="00D406EF"/>
    <w:rsid w:val="00D40D4F"/>
    <w:rsid w:val="00D4135E"/>
    <w:rsid w:val="00D41F90"/>
    <w:rsid w:val="00D43A28"/>
    <w:rsid w:val="00D4617D"/>
    <w:rsid w:val="00D46D45"/>
    <w:rsid w:val="00D50CCD"/>
    <w:rsid w:val="00D51014"/>
    <w:rsid w:val="00D51DE6"/>
    <w:rsid w:val="00D52EEF"/>
    <w:rsid w:val="00D537F6"/>
    <w:rsid w:val="00D542F9"/>
    <w:rsid w:val="00D5581A"/>
    <w:rsid w:val="00D55A4F"/>
    <w:rsid w:val="00D55CF3"/>
    <w:rsid w:val="00D55D78"/>
    <w:rsid w:val="00D5698F"/>
    <w:rsid w:val="00D571A7"/>
    <w:rsid w:val="00D57B27"/>
    <w:rsid w:val="00D61B4A"/>
    <w:rsid w:val="00D65785"/>
    <w:rsid w:val="00D67280"/>
    <w:rsid w:val="00D70CAC"/>
    <w:rsid w:val="00D72292"/>
    <w:rsid w:val="00D7405A"/>
    <w:rsid w:val="00D75DE5"/>
    <w:rsid w:val="00D75DF8"/>
    <w:rsid w:val="00D760D1"/>
    <w:rsid w:val="00D768FD"/>
    <w:rsid w:val="00D77947"/>
    <w:rsid w:val="00D80886"/>
    <w:rsid w:val="00D8203B"/>
    <w:rsid w:val="00D82268"/>
    <w:rsid w:val="00D845C8"/>
    <w:rsid w:val="00D86142"/>
    <w:rsid w:val="00D86AD8"/>
    <w:rsid w:val="00D912A3"/>
    <w:rsid w:val="00D91F0B"/>
    <w:rsid w:val="00D9246E"/>
    <w:rsid w:val="00D92791"/>
    <w:rsid w:val="00D94A4D"/>
    <w:rsid w:val="00D94C7C"/>
    <w:rsid w:val="00DA16C6"/>
    <w:rsid w:val="00DA22B0"/>
    <w:rsid w:val="00DA26AB"/>
    <w:rsid w:val="00DA2F60"/>
    <w:rsid w:val="00DA4958"/>
    <w:rsid w:val="00DA52EA"/>
    <w:rsid w:val="00DA535A"/>
    <w:rsid w:val="00DA607A"/>
    <w:rsid w:val="00DB0064"/>
    <w:rsid w:val="00DB1250"/>
    <w:rsid w:val="00DB1EFE"/>
    <w:rsid w:val="00DB250D"/>
    <w:rsid w:val="00DB31F1"/>
    <w:rsid w:val="00DB4724"/>
    <w:rsid w:val="00DB5C45"/>
    <w:rsid w:val="00DB7872"/>
    <w:rsid w:val="00DC1321"/>
    <w:rsid w:val="00DC13C2"/>
    <w:rsid w:val="00DC1A23"/>
    <w:rsid w:val="00DC2C06"/>
    <w:rsid w:val="00DC35CE"/>
    <w:rsid w:val="00DC491B"/>
    <w:rsid w:val="00DD1354"/>
    <w:rsid w:val="00DD3F9A"/>
    <w:rsid w:val="00DD5AA1"/>
    <w:rsid w:val="00DD6F06"/>
    <w:rsid w:val="00DD744F"/>
    <w:rsid w:val="00DD7C00"/>
    <w:rsid w:val="00DE274B"/>
    <w:rsid w:val="00DE7461"/>
    <w:rsid w:val="00DE78F7"/>
    <w:rsid w:val="00DF19E8"/>
    <w:rsid w:val="00DF2631"/>
    <w:rsid w:val="00DF28BC"/>
    <w:rsid w:val="00DF35CA"/>
    <w:rsid w:val="00DF5BA1"/>
    <w:rsid w:val="00DF7064"/>
    <w:rsid w:val="00E00537"/>
    <w:rsid w:val="00E0087E"/>
    <w:rsid w:val="00E010C1"/>
    <w:rsid w:val="00E01A6F"/>
    <w:rsid w:val="00E036BC"/>
    <w:rsid w:val="00E04547"/>
    <w:rsid w:val="00E04D73"/>
    <w:rsid w:val="00E04F14"/>
    <w:rsid w:val="00E04FB5"/>
    <w:rsid w:val="00E069EC"/>
    <w:rsid w:val="00E0749B"/>
    <w:rsid w:val="00E07BC6"/>
    <w:rsid w:val="00E107E5"/>
    <w:rsid w:val="00E1091E"/>
    <w:rsid w:val="00E11D8F"/>
    <w:rsid w:val="00E127B9"/>
    <w:rsid w:val="00E14113"/>
    <w:rsid w:val="00E15AB6"/>
    <w:rsid w:val="00E17053"/>
    <w:rsid w:val="00E173E7"/>
    <w:rsid w:val="00E17FEB"/>
    <w:rsid w:val="00E21E88"/>
    <w:rsid w:val="00E22512"/>
    <w:rsid w:val="00E26FCB"/>
    <w:rsid w:val="00E307D2"/>
    <w:rsid w:val="00E332B3"/>
    <w:rsid w:val="00E33B79"/>
    <w:rsid w:val="00E341F0"/>
    <w:rsid w:val="00E350A4"/>
    <w:rsid w:val="00E36D85"/>
    <w:rsid w:val="00E375A0"/>
    <w:rsid w:val="00E37F1A"/>
    <w:rsid w:val="00E40625"/>
    <w:rsid w:val="00E40D64"/>
    <w:rsid w:val="00E4107F"/>
    <w:rsid w:val="00E41102"/>
    <w:rsid w:val="00E41982"/>
    <w:rsid w:val="00E4346A"/>
    <w:rsid w:val="00E45EDD"/>
    <w:rsid w:val="00E46FF4"/>
    <w:rsid w:val="00E477E1"/>
    <w:rsid w:val="00E5001B"/>
    <w:rsid w:val="00E501DA"/>
    <w:rsid w:val="00E50712"/>
    <w:rsid w:val="00E51B84"/>
    <w:rsid w:val="00E51ECB"/>
    <w:rsid w:val="00E52BA6"/>
    <w:rsid w:val="00E5472D"/>
    <w:rsid w:val="00E54CA3"/>
    <w:rsid w:val="00E60412"/>
    <w:rsid w:val="00E604EC"/>
    <w:rsid w:val="00E60E77"/>
    <w:rsid w:val="00E613D4"/>
    <w:rsid w:val="00E62A32"/>
    <w:rsid w:val="00E62A3D"/>
    <w:rsid w:val="00E66AFC"/>
    <w:rsid w:val="00E67C4B"/>
    <w:rsid w:val="00E70C83"/>
    <w:rsid w:val="00E70D7E"/>
    <w:rsid w:val="00E71EC5"/>
    <w:rsid w:val="00E72C74"/>
    <w:rsid w:val="00E735D2"/>
    <w:rsid w:val="00E73660"/>
    <w:rsid w:val="00E73886"/>
    <w:rsid w:val="00E74115"/>
    <w:rsid w:val="00E74157"/>
    <w:rsid w:val="00E7461A"/>
    <w:rsid w:val="00E762CB"/>
    <w:rsid w:val="00E764D9"/>
    <w:rsid w:val="00E77101"/>
    <w:rsid w:val="00E85A57"/>
    <w:rsid w:val="00E85D32"/>
    <w:rsid w:val="00E948E4"/>
    <w:rsid w:val="00E9539B"/>
    <w:rsid w:val="00EA0169"/>
    <w:rsid w:val="00EA02B0"/>
    <w:rsid w:val="00EA0CF3"/>
    <w:rsid w:val="00EA184F"/>
    <w:rsid w:val="00EA2C37"/>
    <w:rsid w:val="00EA3B9E"/>
    <w:rsid w:val="00EA453E"/>
    <w:rsid w:val="00EB17D1"/>
    <w:rsid w:val="00EB25BB"/>
    <w:rsid w:val="00EB3236"/>
    <w:rsid w:val="00EB373E"/>
    <w:rsid w:val="00EB4D04"/>
    <w:rsid w:val="00EB691E"/>
    <w:rsid w:val="00EC18B6"/>
    <w:rsid w:val="00EC3A30"/>
    <w:rsid w:val="00EC3D2A"/>
    <w:rsid w:val="00EC4468"/>
    <w:rsid w:val="00ED19B6"/>
    <w:rsid w:val="00ED385A"/>
    <w:rsid w:val="00ED4119"/>
    <w:rsid w:val="00ED4CE6"/>
    <w:rsid w:val="00ED68D5"/>
    <w:rsid w:val="00ED7510"/>
    <w:rsid w:val="00ED7EC1"/>
    <w:rsid w:val="00EE0156"/>
    <w:rsid w:val="00EE31AF"/>
    <w:rsid w:val="00EE33C8"/>
    <w:rsid w:val="00EE36E4"/>
    <w:rsid w:val="00EE3DFD"/>
    <w:rsid w:val="00EE4408"/>
    <w:rsid w:val="00EE4C5B"/>
    <w:rsid w:val="00EE56E2"/>
    <w:rsid w:val="00EE63D0"/>
    <w:rsid w:val="00EE766F"/>
    <w:rsid w:val="00EF16BE"/>
    <w:rsid w:val="00EF31F2"/>
    <w:rsid w:val="00EF66F8"/>
    <w:rsid w:val="00EF7E99"/>
    <w:rsid w:val="00F0038B"/>
    <w:rsid w:val="00F05648"/>
    <w:rsid w:val="00F060E1"/>
    <w:rsid w:val="00F076F2"/>
    <w:rsid w:val="00F10331"/>
    <w:rsid w:val="00F10CDE"/>
    <w:rsid w:val="00F10FC1"/>
    <w:rsid w:val="00F11BD3"/>
    <w:rsid w:val="00F12EBD"/>
    <w:rsid w:val="00F14DC2"/>
    <w:rsid w:val="00F160A7"/>
    <w:rsid w:val="00F17084"/>
    <w:rsid w:val="00F171E7"/>
    <w:rsid w:val="00F21FA0"/>
    <w:rsid w:val="00F226C7"/>
    <w:rsid w:val="00F22C8D"/>
    <w:rsid w:val="00F23599"/>
    <w:rsid w:val="00F23AEE"/>
    <w:rsid w:val="00F25959"/>
    <w:rsid w:val="00F26156"/>
    <w:rsid w:val="00F26E27"/>
    <w:rsid w:val="00F2793E"/>
    <w:rsid w:val="00F311EA"/>
    <w:rsid w:val="00F326EE"/>
    <w:rsid w:val="00F34981"/>
    <w:rsid w:val="00F357D2"/>
    <w:rsid w:val="00F35C3C"/>
    <w:rsid w:val="00F35F9D"/>
    <w:rsid w:val="00F41DDC"/>
    <w:rsid w:val="00F4218A"/>
    <w:rsid w:val="00F42308"/>
    <w:rsid w:val="00F42FAD"/>
    <w:rsid w:val="00F45FF9"/>
    <w:rsid w:val="00F47239"/>
    <w:rsid w:val="00F510D5"/>
    <w:rsid w:val="00F52B37"/>
    <w:rsid w:val="00F538FF"/>
    <w:rsid w:val="00F55EA0"/>
    <w:rsid w:val="00F563FE"/>
    <w:rsid w:val="00F63AA8"/>
    <w:rsid w:val="00F63AC2"/>
    <w:rsid w:val="00F64F5C"/>
    <w:rsid w:val="00F666E6"/>
    <w:rsid w:val="00F66866"/>
    <w:rsid w:val="00F66888"/>
    <w:rsid w:val="00F66A6E"/>
    <w:rsid w:val="00F679DF"/>
    <w:rsid w:val="00F71C96"/>
    <w:rsid w:val="00F754BC"/>
    <w:rsid w:val="00F75A18"/>
    <w:rsid w:val="00F75A1D"/>
    <w:rsid w:val="00F76A86"/>
    <w:rsid w:val="00F779FE"/>
    <w:rsid w:val="00F77D41"/>
    <w:rsid w:val="00F85083"/>
    <w:rsid w:val="00F851C3"/>
    <w:rsid w:val="00F852A7"/>
    <w:rsid w:val="00F8775D"/>
    <w:rsid w:val="00F96D13"/>
    <w:rsid w:val="00FA0357"/>
    <w:rsid w:val="00FA17A2"/>
    <w:rsid w:val="00FA1D02"/>
    <w:rsid w:val="00FA347A"/>
    <w:rsid w:val="00FA4848"/>
    <w:rsid w:val="00FA48E0"/>
    <w:rsid w:val="00FA63F5"/>
    <w:rsid w:val="00FA738F"/>
    <w:rsid w:val="00FB0DC2"/>
    <w:rsid w:val="00FB1DE7"/>
    <w:rsid w:val="00FB3E35"/>
    <w:rsid w:val="00FC00C1"/>
    <w:rsid w:val="00FC04FE"/>
    <w:rsid w:val="00FC09D7"/>
    <w:rsid w:val="00FC0FEA"/>
    <w:rsid w:val="00FC2037"/>
    <w:rsid w:val="00FC3EA4"/>
    <w:rsid w:val="00FC569D"/>
    <w:rsid w:val="00FC7BFE"/>
    <w:rsid w:val="00FD2BD5"/>
    <w:rsid w:val="00FD32AD"/>
    <w:rsid w:val="00FD418B"/>
    <w:rsid w:val="00FD7C9B"/>
    <w:rsid w:val="00FE0595"/>
    <w:rsid w:val="00FE1CA6"/>
    <w:rsid w:val="00FE1E6B"/>
    <w:rsid w:val="00FE263E"/>
    <w:rsid w:val="00FE3478"/>
    <w:rsid w:val="00FE477B"/>
    <w:rsid w:val="00FE4800"/>
    <w:rsid w:val="00FE5ABA"/>
    <w:rsid w:val="00FE7741"/>
    <w:rsid w:val="00FE796B"/>
    <w:rsid w:val="00FF09F3"/>
    <w:rsid w:val="00FF1D62"/>
    <w:rsid w:val="00FF22CE"/>
    <w:rsid w:val="00FF3086"/>
    <w:rsid w:val="00FF4D8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27FB1"/>
  <w15:docId w15:val="{412CF4D5-F37E-450F-9A56-326CAA4A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57B6C"/>
    <w:pPr>
      <w:suppressAutoHyphens/>
      <w:spacing w:before="160" w:line="280" w:lineRule="atLeast"/>
      <w:jc w:val="both"/>
    </w:pPr>
    <w:rPr>
      <w:rFonts w:ascii="Calibri" w:hAnsi="Calibri"/>
      <w:sz w:val="21"/>
    </w:rPr>
  </w:style>
  <w:style w:type="paragraph" w:styleId="berschrift1">
    <w:name w:val="heading 1"/>
    <w:basedOn w:val="Standard"/>
    <w:next w:val="Standard"/>
    <w:link w:val="berschrift1Zchn"/>
    <w:uiPriority w:val="9"/>
    <w:qFormat/>
    <w:rsid w:val="00657B6C"/>
    <w:pPr>
      <w:keepNext/>
      <w:numPr>
        <w:numId w:val="44"/>
      </w:numPr>
      <w:spacing w:before="400"/>
      <w:jc w:val="left"/>
      <w:outlineLvl w:val="0"/>
    </w:pPr>
    <w:rPr>
      <w:b/>
      <w:color w:val="008CD2"/>
      <w:sz w:val="26"/>
    </w:rPr>
  </w:style>
  <w:style w:type="paragraph" w:styleId="berschrift2">
    <w:name w:val="heading 2"/>
    <w:basedOn w:val="Standard"/>
    <w:next w:val="Standard"/>
    <w:link w:val="berschrift2Zchn"/>
    <w:qFormat/>
    <w:rsid w:val="00657B6C"/>
    <w:pPr>
      <w:keepNext/>
      <w:numPr>
        <w:ilvl w:val="1"/>
        <w:numId w:val="44"/>
      </w:numPr>
      <w:spacing w:before="400"/>
      <w:jc w:val="left"/>
      <w:outlineLvl w:val="1"/>
    </w:pPr>
    <w:rPr>
      <w:b/>
      <w:color w:val="008CD2"/>
      <w:sz w:val="26"/>
    </w:rPr>
  </w:style>
  <w:style w:type="paragraph" w:styleId="berschrift3">
    <w:name w:val="heading 3"/>
    <w:basedOn w:val="Standard"/>
    <w:next w:val="Standard"/>
    <w:link w:val="berschrift3Zchn"/>
    <w:qFormat/>
    <w:rsid w:val="00657B6C"/>
    <w:pPr>
      <w:keepNext/>
      <w:numPr>
        <w:ilvl w:val="2"/>
        <w:numId w:val="44"/>
      </w:numPr>
      <w:spacing w:before="400"/>
      <w:jc w:val="left"/>
      <w:outlineLvl w:val="2"/>
    </w:pPr>
    <w:rPr>
      <w:b/>
      <w:color w:val="008CD2"/>
      <w:sz w:val="26"/>
    </w:rPr>
  </w:style>
  <w:style w:type="paragraph" w:styleId="berschrift4">
    <w:name w:val="heading 4"/>
    <w:basedOn w:val="Standard"/>
    <w:next w:val="Standard"/>
    <w:link w:val="berschrift4Zchn"/>
    <w:qFormat/>
    <w:rsid w:val="00657B6C"/>
    <w:pPr>
      <w:keepNext/>
      <w:numPr>
        <w:ilvl w:val="3"/>
        <w:numId w:val="44"/>
      </w:numPr>
      <w:spacing w:before="400"/>
      <w:jc w:val="left"/>
      <w:outlineLvl w:val="3"/>
    </w:pPr>
    <w:rPr>
      <w:b/>
      <w:color w:val="008CD2"/>
      <w:sz w:val="26"/>
    </w:rPr>
  </w:style>
  <w:style w:type="paragraph" w:styleId="berschrift5">
    <w:name w:val="heading 5"/>
    <w:basedOn w:val="Standard"/>
    <w:next w:val="Standard"/>
    <w:link w:val="berschrift5Zchn"/>
    <w:rsid w:val="00657B6C"/>
    <w:pPr>
      <w:keepNext/>
      <w:numPr>
        <w:ilvl w:val="4"/>
        <w:numId w:val="44"/>
      </w:numPr>
      <w:spacing w:before="400"/>
      <w:jc w:val="left"/>
      <w:outlineLvl w:val="4"/>
    </w:pPr>
    <w:rPr>
      <w:b/>
      <w:color w:val="008CD2"/>
      <w:sz w:val="26"/>
    </w:rPr>
  </w:style>
  <w:style w:type="paragraph" w:styleId="berschrift6">
    <w:name w:val="heading 6"/>
    <w:basedOn w:val="Standard"/>
    <w:next w:val="Standard"/>
    <w:link w:val="berschrift6Zchn"/>
    <w:rsid w:val="00657B6C"/>
    <w:pPr>
      <w:keepNext/>
      <w:numPr>
        <w:ilvl w:val="5"/>
        <w:numId w:val="44"/>
      </w:numPr>
      <w:spacing w:before="400"/>
      <w:jc w:val="left"/>
      <w:outlineLvl w:val="5"/>
    </w:pPr>
    <w:rPr>
      <w:b/>
      <w:color w:val="008CD2"/>
      <w:sz w:val="26"/>
    </w:rPr>
  </w:style>
  <w:style w:type="paragraph" w:styleId="berschrift7">
    <w:name w:val="heading 7"/>
    <w:basedOn w:val="Standard"/>
    <w:next w:val="Standard"/>
    <w:link w:val="berschrift7Zchn"/>
    <w:rsid w:val="00657B6C"/>
    <w:pPr>
      <w:keepNext/>
      <w:numPr>
        <w:ilvl w:val="6"/>
        <w:numId w:val="44"/>
      </w:numPr>
      <w:spacing w:before="400"/>
      <w:jc w:val="left"/>
      <w:outlineLvl w:val="6"/>
    </w:pPr>
    <w:rPr>
      <w:b/>
      <w:color w:val="008CD2"/>
      <w:sz w:val="26"/>
    </w:rPr>
  </w:style>
  <w:style w:type="paragraph" w:styleId="berschrift8">
    <w:name w:val="heading 8"/>
    <w:basedOn w:val="Standard"/>
    <w:next w:val="Standard"/>
    <w:link w:val="berschrift8Zchn"/>
    <w:rsid w:val="00657B6C"/>
    <w:pPr>
      <w:keepNext/>
      <w:numPr>
        <w:ilvl w:val="7"/>
        <w:numId w:val="44"/>
      </w:numPr>
      <w:spacing w:before="400"/>
      <w:jc w:val="left"/>
      <w:outlineLvl w:val="7"/>
    </w:pPr>
    <w:rPr>
      <w:b/>
      <w:color w:val="008CD2"/>
      <w:sz w:val="26"/>
    </w:rPr>
  </w:style>
  <w:style w:type="paragraph" w:styleId="berschrift9">
    <w:name w:val="heading 9"/>
    <w:basedOn w:val="Standard"/>
    <w:next w:val="berschrift8"/>
    <w:link w:val="berschrift9Zchn"/>
    <w:rsid w:val="00657B6C"/>
    <w:pPr>
      <w:keepNext/>
      <w:keepLines/>
      <w:numPr>
        <w:ilvl w:val="8"/>
        <w:numId w:val="44"/>
      </w:numPr>
      <w:spacing w:before="400"/>
      <w:jc w:val="left"/>
      <w:outlineLvl w:val="8"/>
    </w:pPr>
    <w:rPr>
      <w:b/>
      <w:color w:val="008CD2"/>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afik">
    <w:name w:val="Grafik"/>
    <w:basedOn w:val="Standard"/>
    <w:next w:val="Quelle"/>
    <w:qFormat/>
    <w:rsid w:val="00657B6C"/>
    <w:pPr>
      <w:keepNext/>
      <w:tabs>
        <w:tab w:val="left" w:pos="1985"/>
      </w:tabs>
      <w:spacing w:before="0"/>
    </w:pPr>
    <w:rPr>
      <w:noProof/>
    </w:rPr>
  </w:style>
  <w:style w:type="paragraph" w:customStyle="1" w:styleId="Tabelle">
    <w:name w:val="Tabelle_Ü"/>
    <w:basedOn w:val="Standard"/>
    <w:next w:val="Grafik"/>
    <w:qFormat/>
    <w:rsid w:val="00681B3F"/>
    <w:pPr>
      <w:keepNext/>
      <w:spacing w:after="240"/>
      <w:ind w:left="1701" w:hanging="1701"/>
    </w:pPr>
    <w:rPr>
      <w:b/>
    </w:rPr>
  </w:style>
  <w:style w:type="paragraph" w:customStyle="1" w:styleId="Spiegel-1">
    <w:name w:val="Spiegel-1"/>
    <w:basedOn w:val="Standard"/>
    <w:link w:val="Spiegel-1Zchn"/>
    <w:uiPriority w:val="99"/>
    <w:rsid w:val="00AF345F"/>
    <w:pPr>
      <w:numPr>
        <w:numId w:val="3"/>
      </w:numPr>
      <w:tabs>
        <w:tab w:val="left" w:pos="357"/>
      </w:tabs>
      <w:spacing w:before="120"/>
    </w:pPr>
  </w:style>
  <w:style w:type="paragraph" w:styleId="Funotentext">
    <w:name w:val="footnote text"/>
    <w:basedOn w:val="Standard"/>
    <w:link w:val="FunotentextZchn"/>
    <w:uiPriority w:val="99"/>
    <w:qFormat/>
    <w:rsid w:val="00657B6C"/>
    <w:pPr>
      <w:tabs>
        <w:tab w:val="left" w:pos="284"/>
      </w:tabs>
      <w:spacing w:before="80" w:line="200" w:lineRule="atLeast"/>
      <w:ind w:left="284" w:hanging="284"/>
    </w:pPr>
    <w:rPr>
      <w:color w:val="595959"/>
      <w:position w:val="2"/>
      <w:sz w:val="18"/>
    </w:rPr>
  </w:style>
  <w:style w:type="character" w:styleId="Funotenzeichen">
    <w:name w:val="footnote reference"/>
    <w:basedOn w:val="Absatz-Standardschriftart"/>
    <w:semiHidden/>
    <w:rsid w:val="00657B6C"/>
    <w:rPr>
      <w:rFonts w:ascii="Calibri" w:hAnsi="Calibri"/>
      <w:b/>
      <w:noProof w:val="0"/>
      <w:color w:val="008CD2"/>
      <w:position w:val="2"/>
      <w:sz w:val="19"/>
      <w:vertAlign w:val="superscript"/>
      <w:lang w:val="de-DE"/>
    </w:rPr>
  </w:style>
  <w:style w:type="paragraph" w:styleId="Fuzeile">
    <w:name w:val="footer"/>
    <w:basedOn w:val="Standard"/>
    <w:next w:val="Standard"/>
    <w:link w:val="FuzeileZchn"/>
    <w:uiPriority w:val="99"/>
    <w:rsid w:val="00657B6C"/>
    <w:pPr>
      <w:tabs>
        <w:tab w:val="right" w:pos="9498"/>
      </w:tabs>
      <w:spacing w:before="0" w:line="240" w:lineRule="auto"/>
      <w:ind w:left="12" w:firstLine="1"/>
      <w:jc w:val="left"/>
    </w:pPr>
    <w:rPr>
      <w:sz w:val="18"/>
    </w:rPr>
  </w:style>
  <w:style w:type="paragraph" w:styleId="Kopfzeile">
    <w:name w:val="header"/>
    <w:basedOn w:val="Standard"/>
    <w:link w:val="KopfzeileZchn"/>
    <w:uiPriority w:val="99"/>
    <w:qFormat/>
    <w:rsid w:val="00657B6C"/>
    <w:pPr>
      <w:tabs>
        <w:tab w:val="right" w:pos="9526"/>
      </w:tabs>
      <w:spacing w:before="0" w:line="240" w:lineRule="exact"/>
      <w:jc w:val="left"/>
    </w:pPr>
    <w:rPr>
      <w:color w:val="000000" w:themeColor="text1"/>
      <w:sz w:val="18"/>
    </w:rPr>
  </w:style>
  <w:style w:type="paragraph" w:customStyle="1" w:styleId="Literatur">
    <w:name w:val="Literatur"/>
    <w:basedOn w:val="Standard"/>
    <w:autoRedefine/>
    <w:qFormat/>
    <w:rsid w:val="00657B6C"/>
    <w:pPr>
      <w:tabs>
        <w:tab w:val="left" w:pos="1134"/>
      </w:tabs>
      <w:spacing w:before="80" w:line="240" w:lineRule="exact"/>
      <w:ind w:left="567" w:hanging="567"/>
    </w:pPr>
    <w:rPr>
      <w:color w:val="595959"/>
      <w:sz w:val="20"/>
    </w:rPr>
  </w:style>
  <w:style w:type="paragraph" w:styleId="Verzeichnis5">
    <w:name w:val="toc 5"/>
    <w:basedOn w:val="Standard"/>
    <w:next w:val="Standard"/>
    <w:autoRedefine/>
    <w:semiHidden/>
    <w:rsid w:val="00BF0EB5"/>
    <w:pPr>
      <w:tabs>
        <w:tab w:val="left" w:pos="3969"/>
        <w:tab w:val="left" w:pos="9526"/>
      </w:tabs>
      <w:spacing w:before="120" w:line="240" w:lineRule="auto"/>
      <w:ind w:left="3969" w:hanging="992"/>
    </w:pPr>
    <w:rPr>
      <w:color w:val="000000" w:themeColor="text1"/>
      <w:sz w:val="20"/>
    </w:rPr>
  </w:style>
  <w:style w:type="paragraph" w:customStyle="1" w:styleId="spiegel-3">
    <w:name w:val="spiegel-3"/>
    <w:basedOn w:val="Standard"/>
    <w:qFormat/>
    <w:rsid w:val="0021245C"/>
    <w:pPr>
      <w:numPr>
        <w:numId w:val="2"/>
      </w:numPr>
      <w:spacing w:before="200"/>
    </w:pPr>
  </w:style>
  <w:style w:type="paragraph" w:customStyle="1" w:styleId="Titelberschrift">
    <w:name w:val="Titelüberschrift"/>
    <w:basedOn w:val="Standard"/>
    <w:next w:val="Standard"/>
    <w:qFormat/>
    <w:rsid w:val="00657B6C"/>
    <w:pPr>
      <w:tabs>
        <w:tab w:val="left" w:pos="425"/>
      </w:tabs>
      <w:spacing w:before="0"/>
    </w:pPr>
    <w:rPr>
      <w:b/>
      <w:color w:val="008CD2"/>
      <w:sz w:val="32"/>
    </w:rPr>
  </w:style>
  <w:style w:type="paragraph" w:styleId="Verzeichnis1">
    <w:name w:val="toc 1"/>
    <w:basedOn w:val="Standard"/>
    <w:next w:val="Standard"/>
    <w:autoRedefine/>
    <w:uiPriority w:val="39"/>
    <w:qFormat/>
    <w:rsid w:val="00657B6C"/>
    <w:pPr>
      <w:tabs>
        <w:tab w:val="left" w:pos="425"/>
        <w:tab w:val="right" w:pos="9526"/>
      </w:tabs>
      <w:spacing w:before="120"/>
      <w:ind w:left="425" w:hanging="425"/>
      <w:jc w:val="left"/>
    </w:pPr>
    <w:rPr>
      <w:b/>
      <w:color w:val="008CD2"/>
    </w:rPr>
  </w:style>
  <w:style w:type="paragraph" w:styleId="Verzeichnis2">
    <w:name w:val="toc 2"/>
    <w:basedOn w:val="Standard"/>
    <w:next w:val="Standard"/>
    <w:autoRedefine/>
    <w:uiPriority w:val="39"/>
    <w:rsid w:val="00657B6C"/>
    <w:pPr>
      <w:tabs>
        <w:tab w:val="left" w:pos="1134"/>
        <w:tab w:val="right" w:pos="9526"/>
      </w:tabs>
      <w:spacing w:before="60"/>
      <w:ind w:left="1134" w:hanging="709"/>
      <w:jc w:val="left"/>
    </w:pPr>
    <w:rPr>
      <w:color w:val="000000" w:themeColor="text1"/>
    </w:rPr>
  </w:style>
  <w:style w:type="paragraph" w:styleId="Verzeichnis3">
    <w:name w:val="toc 3"/>
    <w:basedOn w:val="Standard"/>
    <w:next w:val="Standard"/>
    <w:autoRedefine/>
    <w:uiPriority w:val="39"/>
    <w:rsid w:val="00657B6C"/>
    <w:pPr>
      <w:tabs>
        <w:tab w:val="left" w:pos="1985"/>
        <w:tab w:val="right" w:pos="9526"/>
      </w:tabs>
      <w:spacing w:before="0"/>
      <w:ind w:left="1985" w:hanging="851"/>
      <w:jc w:val="left"/>
    </w:pPr>
    <w:rPr>
      <w:color w:val="000000" w:themeColor="text1"/>
    </w:rPr>
  </w:style>
  <w:style w:type="paragraph" w:styleId="Verzeichnis4">
    <w:name w:val="toc 4"/>
    <w:basedOn w:val="Standard"/>
    <w:next w:val="Standard"/>
    <w:autoRedefine/>
    <w:semiHidden/>
    <w:rsid w:val="00BF0EB5"/>
    <w:pPr>
      <w:tabs>
        <w:tab w:val="left" w:pos="2977"/>
        <w:tab w:val="left" w:pos="9526"/>
      </w:tabs>
      <w:spacing w:before="0"/>
      <w:ind w:left="2977" w:hanging="992"/>
      <w:jc w:val="left"/>
    </w:pPr>
    <w:rPr>
      <w:color w:val="000000" w:themeColor="text1"/>
    </w:rPr>
  </w:style>
  <w:style w:type="character" w:customStyle="1" w:styleId="KopfzeileZchn">
    <w:name w:val="Kopfzeile Zchn"/>
    <w:basedOn w:val="Absatz-Standardschriftart"/>
    <w:link w:val="Kopfzeile"/>
    <w:uiPriority w:val="99"/>
    <w:locked/>
    <w:rsid w:val="00657B6C"/>
    <w:rPr>
      <w:rFonts w:ascii="Calibri" w:hAnsi="Calibri"/>
      <w:color w:val="000000" w:themeColor="text1"/>
      <w:sz w:val="18"/>
    </w:rPr>
  </w:style>
  <w:style w:type="paragraph" w:customStyle="1" w:styleId="berschriftLiteratur">
    <w:name w:val="Überschrift_Literatur"/>
    <w:basedOn w:val="berschrift1"/>
    <w:pPr>
      <w:spacing w:after="320"/>
    </w:pPr>
  </w:style>
  <w:style w:type="paragraph" w:styleId="Fu-Endnotenberschrift">
    <w:name w:val="Note Heading"/>
    <w:basedOn w:val="Standard"/>
    <w:next w:val="Standard"/>
    <w:link w:val="Fu-EndnotenberschriftZchn"/>
  </w:style>
  <w:style w:type="paragraph" w:customStyle="1" w:styleId="NachAbbTab">
    <w:name w:val="Nach_Abb+Tab"/>
    <w:basedOn w:val="Standard"/>
    <w:next w:val="Standard"/>
    <w:link w:val="NachAbbTabZchn"/>
    <w:qFormat/>
    <w:rsid w:val="00657B6C"/>
    <w:pPr>
      <w:spacing w:before="240"/>
    </w:pPr>
  </w:style>
  <w:style w:type="paragraph" w:customStyle="1" w:styleId="Zwischenberschrift">
    <w:name w:val="Zwischenüberschrift"/>
    <w:basedOn w:val="Standard"/>
    <w:next w:val="NachZwischenberschrift"/>
    <w:qFormat/>
    <w:rsid w:val="0021245C"/>
    <w:pPr>
      <w:keepNext/>
    </w:pPr>
    <w:rPr>
      <w:b/>
    </w:rPr>
  </w:style>
  <w:style w:type="paragraph" w:customStyle="1" w:styleId="NachZwischenberschrift">
    <w:name w:val="Nach_Zwischenüberschrift"/>
    <w:basedOn w:val="Standard"/>
    <w:next w:val="Standard"/>
    <w:qFormat/>
    <w:rsid w:val="00681B3F"/>
    <w:pPr>
      <w:spacing w:before="120"/>
    </w:pPr>
  </w:style>
  <w:style w:type="character" w:styleId="Seitenzahl">
    <w:name w:val="page number"/>
    <w:basedOn w:val="Absatz-Standardschriftart"/>
    <w:autoRedefine/>
    <w:rsid w:val="00207750"/>
    <w:rPr>
      <w:rFonts w:ascii="Calibri" w:hAnsi="Calibri"/>
      <w:b w:val="0"/>
      <w:i w:val="0"/>
      <w:caps w:val="0"/>
      <w:smallCaps w:val="0"/>
      <w:strike w:val="0"/>
      <w:dstrike w:val="0"/>
      <w:vanish w:val="0"/>
      <w:color w:val="000000" w:themeColor="text1"/>
      <w:sz w:val="19"/>
      <w:vertAlign w:val="baseline"/>
    </w:rPr>
  </w:style>
  <w:style w:type="paragraph" w:customStyle="1" w:styleId="TitelberschriftAutoren">
    <w:name w:val="Titelüberschrift_Autoren"/>
    <w:basedOn w:val="Titelberschrift"/>
    <w:rsid w:val="00681B3F"/>
    <w:pPr>
      <w:spacing w:before="240"/>
    </w:pPr>
    <w:rPr>
      <w:b w:val="0"/>
      <w:color w:val="000000"/>
      <w:sz w:val="24"/>
    </w:rPr>
  </w:style>
  <w:style w:type="paragraph" w:customStyle="1" w:styleId="Zwischenberschrift2">
    <w:name w:val="Zwischenüberschrift_2"/>
    <w:basedOn w:val="Zwischenberschrift"/>
    <w:next w:val="NachZwischenberschrift"/>
    <w:qFormat/>
    <w:rsid w:val="0021245C"/>
    <w:rPr>
      <w:b w:val="0"/>
      <w:i/>
    </w:rPr>
  </w:style>
  <w:style w:type="paragraph" w:customStyle="1" w:styleId="Quelle">
    <w:name w:val="Quelle"/>
    <w:basedOn w:val="Standard"/>
    <w:next w:val="NachAbbTab"/>
    <w:link w:val="QuelleZchn"/>
    <w:qFormat/>
    <w:rsid w:val="00657B6C"/>
    <w:pPr>
      <w:spacing w:before="120" w:line="200" w:lineRule="atLeast"/>
    </w:pPr>
    <w:rPr>
      <w:color w:val="626262"/>
      <w:sz w:val="18"/>
    </w:rPr>
  </w:style>
  <w:style w:type="paragraph" w:customStyle="1" w:styleId="Karte">
    <w:name w:val="Karte_Ü"/>
    <w:basedOn w:val="Tabelle"/>
    <w:next w:val="Grafik"/>
    <w:rsid w:val="00681B3F"/>
    <w:pPr>
      <w:tabs>
        <w:tab w:val="left" w:pos="1701"/>
      </w:tabs>
    </w:pPr>
  </w:style>
  <w:style w:type="paragraph" w:customStyle="1" w:styleId="Abbildung">
    <w:name w:val="Abbildung_Ü"/>
    <w:basedOn w:val="Tabelle"/>
    <w:next w:val="Grafik"/>
    <w:qFormat/>
    <w:rsid w:val="00681B3F"/>
    <w:pPr>
      <w:tabs>
        <w:tab w:val="left" w:pos="1985"/>
      </w:tabs>
      <w:ind w:left="1985" w:hanging="1985"/>
    </w:pPr>
  </w:style>
  <w:style w:type="paragraph" w:customStyle="1" w:styleId="AnhangAbbildung">
    <w:name w:val="Anhang_Abbildung_Ü"/>
    <w:basedOn w:val="Standard"/>
    <w:next w:val="Grafik"/>
    <w:qFormat/>
    <w:rsid w:val="00681B3F"/>
    <w:pPr>
      <w:keepNext/>
      <w:tabs>
        <w:tab w:val="left" w:pos="2268"/>
      </w:tabs>
      <w:spacing w:after="240"/>
      <w:ind w:left="2268" w:hanging="2268"/>
    </w:pPr>
    <w:rPr>
      <w:b/>
    </w:rPr>
  </w:style>
  <w:style w:type="paragraph" w:customStyle="1" w:styleId="AnhangTabelle">
    <w:name w:val="Anhang_Tabelle_Ü"/>
    <w:basedOn w:val="Tabelle"/>
    <w:next w:val="Grafik"/>
    <w:qFormat/>
    <w:rsid w:val="00681B3F"/>
  </w:style>
  <w:style w:type="paragraph" w:styleId="Verzeichnis6">
    <w:name w:val="toc 6"/>
    <w:basedOn w:val="Standard"/>
    <w:next w:val="Standard"/>
    <w:autoRedefine/>
    <w:semiHidden/>
    <w:rsid w:val="003F3D23"/>
    <w:pPr>
      <w:tabs>
        <w:tab w:val="left" w:pos="5103"/>
        <w:tab w:val="right" w:pos="9072"/>
      </w:tabs>
      <w:spacing w:before="120" w:line="240" w:lineRule="auto"/>
      <w:ind w:left="5103" w:hanging="1134"/>
    </w:pPr>
    <w:rPr>
      <w:noProof/>
      <w:sz w:val="20"/>
    </w:rPr>
  </w:style>
  <w:style w:type="paragraph" w:customStyle="1" w:styleId="AnhangKarte">
    <w:name w:val="Anhang_Karte_Ü"/>
    <w:basedOn w:val="AnhangTabelle"/>
    <w:next w:val="Grafik"/>
    <w:qFormat/>
    <w:rsid w:val="00681B3F"/>
  </w:style>
  <w:style w:type="paragraph" w:styleId="Verzeichnis7">
    <w:name w:val="toc 7"/>
    <w:basedOn w:val="Standard"/>
    <w:next w:val="Standard"/>
    <w:autoRedefine/>
    <w:semiHidden/>
    <w:rsid w:val="00A74C04"/>
    <w:pPr>
      <w:tabs>
        <w:tab w:val="left" w:pos="6407"/>
        <w:tab w:val="right" w:pos="9072"/>
      </w:tabs>
      <w:spacing w:before="120" w:line="240" w:lineRule="auto"/>
      <w:ind w:left="6407" w:hanging="1304"/>
    </w:pPr>
    <w:rPr>
      <w:sz w:val="20"/>
    </w:rPr>
  </w:style>
  <w:style w:type="character" w:customStyle="1" w:styleId="Autor">
    <w:name w:val="Autor"/>
    <w:basedOn w:val="Absatz-Standardschriftart"/>
    <w:qFormat/>
    <w:rsid w:val="00657B6C"/>
    <w:rPr>
      <w:rFonts w:ascii="Calibri" w:hAnsi="Calibri"/>
      <w:caps w:val="0"/>
      <w:smallCaps/>
      <w:color w:val="000000" w:themeColor="text1"/>
      <w:sz w:val="24"/>
    </w:rPr>
  </w:style>
  <w:style w:type="character" w:customStyle="1" w:styleId="Spiegel-1Zchn">
    <w:name w:val="Spiegel-1 Zchn"/>
    <w:basedOn w:val="Absatz-Standardschriftart"/>
    <w:link w:val="Spiegel-1"/>
    <w:uiPriority w:val="99"/>
    <w:rsid w:val="00AF345F"/>
    <w:rPr>
      <w:rFonts w:ascii="Calibri" w:hAnsi="Calibri"/>
      <w:sz w:val="24"/>
    </w:rPr>
  </w:style>
  <w:style w:type="paragraph" w:customStyle="1" w:styleId="Spiegel-2">
    <w:name w:val="Spiegel-2"/>
    <w:basedOn w:val="Standard"/>
    <w:qFormat/>
    <w:rsid w:val="0021245C"/>
    <w:pPr>
      <w:numPr>
        <w:numId w:val="1"/>
      </w:numPr>
      <w:tabs>
        <w:tab w:val="left" w:pos="357"/>
      </w:tabs>
      <w:spacing w:before="120"/>
      <w:ind w:left="357" w:hanging="357"/>
    </w:pPr>
  </w:style>
  <w:style w:type="character" w:customStyle="1" w:styleId="berschrift1Zchn">
    <w:name w:val="Überschrift 1 Zchn"/>
    <w:basedOn w:val="Absatz-Standardschriftart"/>
    <w:link w:val="berschrift1"/>
    <w:uiPriority w:val="9"/>
    <w:rsid w:val="00657B6C"/>
    <w:rPr>
      <w:rFonts w:ascii="Calibri" w:hAnsi="Calibri"/>
      <w:b/>
      <w:color w:val="008CD2"/>
      <w:sz w:val="26"/>
    </w:rPr>
  </w:style>
  <w:style w:type="character" w:customStyle="1" w:styleId="berschrift2Zchn">
    <w:name w:val="Überschrift 2 Zchn"/>
    <w:basedOn w:val="Absatz-Standardschriftart"/>
    <w:link w:val="berschrift2"/>
    <w:rsid w:val="00657B6C"/>
    <w:rPr>
      <w:rFonts w:ascii="Calibri" w:hAnsi="Calibri"/>
      <w:b/>
      <w:color w:val="008CD2"/>
      <w:sz w:val="26"/>
    </w:rPr>
  </w:style>
  <w:style w:type="character" w:customStyle="1" w:styleId="berschrift3Zchn">
    <w:name w:val="Überschrift 3 Zchn"/>
    <w:basedOn w:val="Absatz-Standardschriftart"/>
    <w:link w:val="berschrift3"/>
    <w:rsid w:val="00657B6C"/>
    <w:rPr>
      <w:rFonts w:ascii="Calibri" w:hAnsi="Calibri"/>
      <w:b/>
      <w:color w:val="008CD2"/>
      <w:sz w:val="26"/>
    </w:rPr>
  </w:style>
  <w:style w:type="character" w:customStyle="1" w:styleId="berschrift4Zchn">
    <w:name w:val="Überschrift 4 Zchn"/>
    <w:basedOn w:val="Absatz-Standardschriftart"/>
    <w:link w:val="berschrift4"/>
    <w:rsid w:val="00657B6C"/>
    <w:rPr>
      <w:rFonts w:ascii="Calibri" w:hAnsi="Calibri"/>
      <w:b/>
      <w:color w:val="008CD2"/>
      <w:sz w:val="26"/>
    </w:rPr>
  </w:style>
  <w:style w:type="character" w:customStyle="1" w:styleId="berschrift5Zchn">
    <w:name w:val="Überschrift 5 Zchn"/>
    <w:basedOn w:val="Absatz-Standardschriftart"/>
    <w:link w:val="berschrift5"/>
    <w:rsid w:val="00657B6C"/>
    <w:rPr>
      <w:rFonts w:ascii="Calibri" w:hAnsi="Calibri"/>
      <w:b/>
      <w:color w:val="008CD2"/>
      <w:sz w:val="26"/>
    </w:rPr>
  </w:style>
  <w:style w:type="character" w:customStyle="1" w:styleId="berschrift6Zchn">
    <w:name w:val="Überschrift 6 Zchn"/>
    <w:basedOn w:val="Absatz-Standardschriftart"/>
    <w:link w:val="berschrift6"/>
    <w:rsid w:val="00657B6C"/>
    <w:rPr>
      <w:rFonts w:ascii="Calibri" w:hAnsi="Calibri"/>
      <w:b/>
      <w:color w:val="008CD2"/>
      <w:sz w:val="26"/>
    </w:rPr>
  </w:style>
  <w:style w:type="character" w:customStyle="1" w:styleId="berschrift7Zchn">
    <w:name w:val="Überschrift 7 Zchn"/>
    <w:basedOn w:val="Absatz-Standardschriftart"/>
    <w:link w:val="berschrift7"/>
    <w:rsid w:val="00657B6C"/>
    <w:rPr>
      <w:rFonts w:ascii="Calibri" w:hAnsi="Calibri"/>
      <w:b/>
      <w:color w:val="008CD2"/>
      <w:sz w:val="26"/>
    </w:rPr>
  </w:style>
  <w:style w:type="character" w:customStyle="1" w:styleId="berschrift8Zchn">
    <w:name w:val="Überschrift 8 Zchn"/>
    <w:basedOn w:val="Absatz-Standardschriftart"/>
    <w:link w:val="berschrift8"/>
    <w:rsid w:val="00657B6C"/>
    <w:rPr>
      <w:rFonts w:ascii="Calibri" w:hAnsi="Calibri"/>
      <w:b/>
      <w:color w:val="008CD2"/>
      <w:sz w:val="26"/>
    </w:rPr>
  </w:style>
  <w:style w:type="character" w:customStyle="1" w:styleId="berschrift9Zchn">
    <w:name w:val="Überschrift 9 Zchn"/>
    <w:basedOn w:val="Absatz-Standardschriftart"/>
    <w:link w:val="berschrift9"/>
    <w:rsid w:val="00657B6C"/>
    <w:rPr>
      <w:rFonts w:ascii="Calibri" w:hAnsi="Calibri"/>
      <w:b/>
      <w:color w:val="008CD2"/>
      <w:sz w:val="26"/>
    </w:rPr>
  </w:style>
  <w:style w:type="character" w:customStyle="1" w:styleId="FunotentextZchn">
    <w:name w:val="Fußnotentext Zchn"/>
    <w:basedOn w:val="Absatz-Standardschriftart"/>
    <w:link w:val="Funotentext"/>
    <w:uiPriority w:val="99"/>
    <w:rsid w:val="00657B6C"/>
    <w:rPr>
      <w:rFonts w:ascii="Calibri" w:hAnsi="Calibri"/>
      <w:color w:val="595959"/>
      <w:position w:val="2"/>
      <w:sz w:val="18"/>
    </w:rPr>
  </w:style>
  <w:style w:type="character" w:customStyle="1" w:styleId="FuzeileZchn">
    <w:name w:val="Fußzeile Zchn"/>
    <w:basedOn w:val="Absatz-Standardschriftart"/>
    <w:link w:val="Fuzeile"/>
    <w:uiPriority w:val="99"/>
    <w:rsid w:val="00657B6C"/>
    <w:rPr>
      <w:rFonts w:ascii="Calibri" w:hAnsi="Calibri"/>
      <w:sz w:val="18"/>
    </w:rPr>
  </w:style>
  <w:style w:type="character" w:customStyle="1" w:styleId="Fu-EndnotenberschriftZchn">
    <w:name w:val="Fuß/-Endnotenüberschrift Zchn"/>
    <w:basedOn w:val="Absatz-Standardschriftart"/>
    <w:link w:val="Fu-Endnotenberschrift"/>
    <w:rsid w:val="00B7697C"/>
    <w:rPr>
      <w:rFonts w:ascii="Calibri" w:hAnsi="Calibri"/>
      <w:sz w:val="24"/>
    </w:rPr>
  </w:style>
  <w:style w:type="paragraph" w:styleId="Inhaltsverzeichnisberschrift">
    <w:name w:val="TOC Heading"/>
    <w:basedOn w:val="Standard"/>
    <w:next w:val="Standard"/>
    <w:uiPriority w:val="39"/>
    <w:qFormat/>
    <w:rsid w:val="00657B6C"/>
    <w:pPr>
      <w:keepLines/>
      <w:spacing w:before="400" w:after="240"/>
    </w:pPr>
    <w:rPr>
      <w:b/>
      <w:bCs/>
      <w:color w:val="008CD2"/>
      <w:sz w:val="26"/>
      <w:szCs w:val="28"/>
    </w:rPr>
  </w:style>
  <w:style w:type="paragraph" w:styleId="Abbildungsverzeichnis">
    <w:name w:val="table of figures"/>
    <w:basedOn w:val="Standard"/>
    <w:next w:val="Standard"/>
    <w:uiPriority w:val="99"/>
    <w:rsid w:val="00E40625"/>
    <w:pPr>
      <w:tabs>
        <w:tab w:val="left" w:pos="1985"/>
        <w:tab w:val="right" w:pos="9526"/>
      </w:tabs>
      <w:spacing w:before="120"/>
      <w:ind w:left="1985" w:right="743" w:hanging="1985"/>
      <w:jc w:val="left"/>
    </w:pPr>
  </w:style>
  <w:style w:type="paragraph" w:styleId="berarbeitung">
    <w:name w:val="Revision"/>
    <w:hidden/>
    <w:uiPriority w:val="99"/>
    <w:semiHidden/>
    <w:rsid w:val="00B7697C"/>
    <w:rPr>
      <w:rFonts w:ascii="Times New Roman" w:hAnsi="Times New Roman"/>
      <w:spacing w:val="4"/>
      <w:sz w:val="24"/>
    </w:rPr>
  </w:style>
  <w:style w:type="character" w:customStyle="1" w:styleId="NachAbbTabZchn">
    <w:name w:val="Nach_Abb+Tab Zchn"/>
    <w:link w:val="NachAbbTab"/>
    <w:rsid w:val="00657B6C"/>
    <w:rPr>
      <w:rFonts w:ascii="Calibri" w:hAnsi="Calibri"/>
      <w:sz w:val="21"/>
    </w:rPr>
  </w:style>
  <w:style w:type="character" w:customStyle="1" w:styleId="QuelleZchn">
    <w:name w:val="Quelle Zchn"/>
    <w:link w:val="Quelle"/>
    <w:rsid w:val="00657B6C"/>
    <w:rPr>
      <w:rFonts w:ascii="Calibri" w:hAnsi="Calibri"/>
      <w:color w:val="626262"/>
      <w:sz w:val="18"/>
    </w:rPr>
  </w:style>
  <w:style w:type="character" w:styleId="Platzhaltertext">
    <w:name w:val="Placeholder Text"/>
    <w:basedOn w:val="Absatz-Standardschriftart"/>
    <w:uiPriority w:val="99"/>
    <w:semiHidden/>
    <w:rsid w:val="00657B6C"/>
    <w:rPr>
      <w:color w:val="808080"/>
    </w:rPr>
  </w:style>
  <w:style w:type="paragraph" w:styleId="Sprechblasentext">
    <w:name w:val="Balloon Text"/>
    <w:basedOn w:val="Standard"/>
    <w:link w:val="SprechblasentextZchn"/>
    <w:rsid w:val="00726E75"/>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26E75"/>
    <w:rPr>
      <w:rFonts w:ascii="Tahoma" w:hAnsi="Tahoma" w:cs="Tahoma"/>
      <w:sz w:val="16"/>
      <w:szCs w:val="16"/>
    </w:rPr>
  </w:style>
  <w:style w:type="table" w:styleId="Tabellenraster">
    <w:name w:val="Table Grid"/>
    <w:basedOn w:val="NormaleTabelle"/>
    <w:rsid w:val="00657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Standard"/>
    <w:qFormat/>
    <w:rsid w:val="00657B6C"/>
    <w:pPr>
      <w:spacing w:before="20" w:after="20" w:line="240" w:lineRule="auto"/>
      <w:jc w:val="left"/>
    </w:pPr>
    <w:rPr>
      <w:color w:val="000000" w:themeColor="text1"/>
      <w:sz w:val="20"/>
    </w:rPr>
  </w:style>
  <w:style w:type="character" w:styleId="Hyperlink">
    <w:name w:val="Hyperlink"/>
    <w:basedOn w:val="Absatz-Standardschriftart"/>
    <w:uiPriority w:val="99"/>
    <w:unhideWhenUsed/>
    <w:rsid w:val="00657B6C"/>
    <w:rPr>
      <w:color w:val="0000FF" w:themeColor="hyperlink"/>
      <w:u w:val="single"/>
    </w:rPr>
  </w:style>
  <w:style w:type="table" w:styleId="Tabelle3D-Effekt3">
    <w:name w:val="Table 3D effects 3"/>
    <w:basedOn w:val="NormaleTabelle"/>
    <w:rsid w:val="00B23B1D"/>
    <w:pPr>
      <w:spacing w:before="320" w:line="32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Kommentartext">
    <w:name w:val="annotation text"/>
    <w:basedOn w:val="Standard"/>
    <w:link w:val="KommentartextZchn"/>
    <w:unhideWhenUsed/>
    <w:rsid w:val="00AE2D93"/>
    <w:pPr>
      <w:spacing w:line="240" w:lineRule="auto"/>
    </w:pPr>
    <w:rPr>
      <w:sz w:val="20"/>
    </w:rPr>
  </w:style>
  <w:style w:type="character" w:customStyle="1" w:styleId="KommentartextZchn">
    <w:name w:val="Kommentartext Zchn"/>
    <w:basedOn w:val="Absatz-Standardschriftart"/>
    <w:link w:val="Kommentartext"/>
    <w:rsid w:val="00AE2D93"/>
    <w:rPr>
      <w:rFonts w:ascii="Calibri" w:hAnsi="Calibri"/>
    </w:rPr>
  </w:style>
  <w:style w:type="character" w:styleId="Kommentarzeichen">
    <w:name w:val="annotation reference"/>
    <w:basedOn w:val="Absatz-Standardschriftart"/>
    <w:uiPriority w:val="99"/>
    <w:unhideWhenUsed/>
    <w:rsid w:val="00657B6C"/>
    <w:rPr>
      <w:sz w:val="16"/>
      <w:szCs w:val="16"/>
    </w:rPr>
  </w:style>
  <w:style w:type="paragraph" w:styleId="Textkrper">
    <w:name w:val="Body Text"/>
    <w:basedOn w:val="Standard"/>
    <w:link w:val="TextkrperZchn"/>
    <w:uiPriority w:val="1"/>
    <w:qFormat/>
    <w:rsid w:val="00250A20"/>
    <w:pPr>
      <w:widowControl w:val="0"/>
      <w:autoSpaceDE w:val="0"/>
      <w:autoSpaceDN w:val="0"/>
      <w:spacing w:before="0" w:line="240" w:lineRule="auto"/>
      <w:jc w:val="left"/>
    </w:pPr>
    <w:rPr>
      <w:rFonts w:eastAsia="Calibri" w:cs="Calibri"/>
      <w:sz w:val="18"/>
      <w:szCs w:val="18"/>
      <w:lang w:eastAsia="en-US"/>
    </w:rPr>
  </w:style>
  <w:style w:type="character" w:customStyle="1" w:styleId="TextkrperZchn">
    <w:name w:val="Textkörper Zchn"/>
    <w:basedOn w:val="Absatz-Standardschriftart"/>
    <w:link w:val="Textkrper"/>
    <w:uiPriority w:val="1"/>
    <w:rsid w:val="00250A20"/>
    <w:rPr>
      <w:rFonts w:ascii="Calibri" w:eastAsia="Calibri" w:hAnsi="Calibri" w:cs="Calibri"/>
      <w:sz w:val="18"/>
      <w:szCs w:val="18"/>
      <w:lang w:val="en-US" w:eastAsia="en-US"/>
    </w:rPr>
  </w:style>
  <w:style w:type="paragraph" w:styleId="StandardWeb">
    <w:name w:val="Normal (Web)"/>
    <w:basedOn w:val="Standard"/>
    <w:uiPriority w:val="99"/>
    <w:unhideWhenUsed/>
    <w:rsid w:val="00AC6952"/>
    <w:pPr>
      <w:spacing w:before="100" w:beforeAutospacing="1" w:after="100" w:afterAutospacing="1" w:line="240" w:lineRule="auto"/>
      <w:jc w:val="left"/>
    </w:pPr>
    <w:rPr>
      <w:rFonts w:ascii="Times New Roman" w:eastAsiaTheme="minorEastAsia" w:hAnsi="Times New Roman"/>
      <w:szCs w:val="24"/>
    </w:rPr>
  </w:style>
  <w:style w:type="paragraph" w:styleId="Kommentarthema">
    <w:name w:val="annotation subject"/>
    <w:basedOn w:val="Standard"/>
    <w:next w:val="Standard"/>
    <w:link w:val="KommentarthemaZchn"/>
    <w:uiPriority w:val="99"/>
    <w:semiHidden/>
    <w:unhideWhenUsed/>
    <w:rsid w:val="00657B6C"/>
    <w:pPr>
      <w:spacing w:line="240" w:lineRule="auto"/>
    </w:pPr>
    <w:rPr>
      <w:b/>
      <w:bCs/>
      <w:sz w:val="20"/>
    </w:rPr>
  </w:style>
  <w:style w:type="character" w:customStyle="1" w:styleId="KommentarthemaZchn">
    <w:name w:val="Kommentarthema Zchn"/>
    <w:basedOn w:val="Absatz-Standardschriftart"/>
    <w:link w:val="Kommentarthema"/>
    <w:uiPriority w:val="99"/>
    <w:semiHidden/>
    <w:rsid w:val="00657B6C"/>
    <w:rPr>
      <w:rFonts w:ascii="Calibri" w:hAnsi="Calibri"/>
      <w:b/>
      <w:bCs/>
    </w:rPr>
  </w:style>
  <w:style w:type="character" w:customStyle="1" w:styleId="text">
    <w:name w:val="text"/>
    <w:basedOn w:val="Absatz-Standardschriftart"/>
    <w:rsid w:val="007434FA"/>
  </w:style>
  <w:style w:type="character" w:styleId="Hervorhebung">
    <w:name w:val="Emphasis"/>
    <w:basedOn w:val="Absatz-Standardschriftart"/>
    <w:uiPriority w:val="20"/>
    <w:qFormat/>
    <w:rsid w:val="007434FA"/>
    <w:rPr>
      <w:i/>
      <w:iCs/>
    </w:rPr>
  </w:style>
  <w:style w:type="paragraph" w:styleId="Listenabsatz">
    <w:name w:val="List Paragraph"/>
    <w:basedOn w:val="Standard"/>
    <w:uiPriority w:val="34"/>
    <w:qFormat/>
    <w:rsid w:val="005242DB"/>
    <w:pPr>
      <w:ind w:left="720"/>
      <w:contextualSpacing/>
    </w:pPr>
  </w:style>
  <w:style w:type="paragraph" w:styleId="Titel">
    <w:name w:val="Title"/>
    <w:basedOn w:val="Standard"/>
    <w:next w:val="Standard"/>
    <w:link w:val="TitelZchn"/>
    <w:uiPriority w:val="10"/>
    <w:qFormat/>
    <w:rsid w:val="00C631AA"/>
    <w:pPr>
      <w:spacing w:before="0" w:line="240" w:lineRule="auto"/>
      <w:contextualSpacing/>
      <w:jc w:val="left"/>
    </w:pPr>
    <w:rPr>
      <w:rFonts w:asciiTheme="majorHAnsi" w:eastAsiaTheme="majorEastAsia" w:hAnsiTheme="majorHAnsi" w:cstheme="majorBidi"/>
      <w:spacing w:val="-10"/>
      <w:kern w:val="28"/>
      <w:sz w:val="56"/>
      <w:szCs w:val="56"/>
      <w:lang w:val="en-AU" w:eastAsia="en-US"/>
    </w:rPr>
  </w:style>
  <w:style w:type="character" w:customStyle="1" w:styleId="TitelZchn">
    <w:name w:val="Titel Zchn"/>
    <w:basedOn w:val="Absatz-Standardschriftart"/>
    <w:link w:val="Titel"/>
    <w:uiPriority w:val="10"/>
    <w:rsid w:val="00C631AA"/>
    <w:rPr>
      <w:rFonts w:asciiTheme="majorHAnsi" w:eastAsiaTheme="majorEastAsia" w:hAnsiTheme="majorHAnsi" w:cstheme="majorBidi"/>
      <w:spacing w:val="-10"/>
      <w:kern w:val="28"/>
      <w:sz w:val="56"/>
      <w:szCs w:val="56"/>
      <w:lang w:val="en-AU" w:eastAsia="en-US"/>
    </w:rPr>
  </w:style>
  <w:style w:type="table" w:customStyle="1" w:styleId="TableGrid1">
    <w:name w:val="Table Grid1"/>
    <w:basedOn w:val="NormaleTabelle"/>
    <w:next w:val="Tabellenraster"/>
    <w:uiPriority w:val="39"/>
    <w:rsid w:val="008D573C"/>
    <w:rPr>
      <w:rFonts w:ascii="Calibri" w:eastAsia="Calibri" w:hAnsi="Calibri"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8D573C"/>
    <w:rPr>
      <w:rFonts w:ascii="Calibri" w:eastAsia="Calibri" w:hAnsi="Calibri"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975939"/>
    <w:rPr>
      <w:color w:val="605E5C"/>
      <w:shd w:val="clear" w:color="auto" w:fill="E1DFDD"/>
    </w:rPr>
  </w:style>
  <w:style w:type="character" w:styleId="BesuchterLink">
    <w:name w:val="FollowedHyperlink"/>
    <w:basedOn w:val="Absatz-Standardschriftart"/>
    <w:uiPriority w:val="99"/>
    <w:semiHidden/>
    <w:unhideWhenUsed/>
    <w:rsid w:val="00657B6C"/>
    <w:rPr>
      <w:color w:val="800080" w:themeColor="followedHyperlink"/>
      <w:u w:val="single"/>
    </w:rPr>
  </w:style>
  <w:style w:type="character" w:styleId="NichtaufgelsteErwhnung">
    <w:name w:val="Unresolved Mention"/>
    <w:basedOn w:val="Absatz-Standardschriftart"/>
    <w:uiPriority w:val="99"/>
    <w:semiHidden/>
    <w:unhideWhenUsed/>
    <w:rsid w:val="008D5FCB"/>
    <w:rPr>
      <w:color w:val="605E5C"/>
      <w:shd w:val="clear" w:color="auto" w:fill="E1DFDD"/>
    </w:rPr>
  </w:style>
  <w:style w:type="paragraph" w:styleId="Beschriftung">
    <w:name w:val="caption"/>
    <w:basedOn w:val="Standard"/>
    <w:next w:val="Standard"/>
    <w:uiPriority w:val="35"/>
    <w:unhideWhenUsed/>
    <w:qFormat/>
    <w:rsid w:val="00657B6C"/>
    <w:pPr>
      <w:keepNext/>
      <w:tabs>
        <w:tab w:val="left" w:pos="1418"/>
        <w:tab w:val="left" w:pos="2127"/>
      </w:tabs>
      <w:spacing w:before="240" w:after="120"/>
      <w:ind w:left="1418" w:hanging="1418"/>
    </w:pPr>
    <w:rPr>
      <w:b/>
      <w:noProof/>
    </w:rPr>
  </w:style>
  <w:style w:type="numbering" w:customStyle="1" w:styleId="Formatvorlage1">
    <w:name w:val="Formatvorlage1"/>
    <w:uiPriority w:val="99"/>
    <w:rsid w:val="00657B6C"/>
    <w:pPr>
      <w:numPr>
        <w:numId w:val="30"/>
      </w:numPr>
    </w:pPr>
  </w:style>
  <w:style w:type="numbering" w:customStyle="1" w:styleId="Formatvorlage2">
    <w:name w:val="Formatvorlage2"/>
    <w:uiPriority w:val="99"/>
    <w:rsid w:val="00657B6C"/>
    <w:pPr>
      <w:numPr>
        <w:numId w:val="31"/>
      </w:numPr>
    </w:pPr>
  </w:style>
  <w:style w:type="numbering" w:customStyle="1" w:styleId="Formatvorlage3">
    <w:name w:val="Formatvorlage3"/>
    <w:uiPriority w:val="99"/>
    <w:rsid w:val="00657B6C"/>
    <w:pPr>
      <w:numPr>
        <w:numId w:val="32"/>
      </w:numPr>
    </w:pPr>
  </w:style>
  <w:style w:type="table" w:styleId="HelleListe">
    <w:name w:val="Light List"/>
    <w:basedOn w:val="NormaleTabelle"/>
    <w:uiPriority w:val="61"/>
    <w:rsid w:val="00657B6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Akzent1">
    <w:name w:val="Light Shading Accent 1"/>
    <w:basedOn w:val="NormaleTabelle"/>
    <w:uiPriority w:val="60"/>
    <w:rsid w:val="00657B6C"/>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e-1">
    <w:name w:val="Liste-1"/>
    <w:basedOn w:val="Standard"/>
    <w:qFormat/>
    <w:rsid w:val="00657B6C"/>
    <w:pPr>
      <w:numPr>
        <w:numId w:val="33"/>
      </w:numPr>
      <w:tabs>
        <w:tab w:val="left" w:pos="567"/>
      </w:tabs>
      <w:spacing w:before="80"/>
    </w:pPr>
  </w:style>
  <w:style w:type="paragraph" w:customStyle="1" w:styleId="Liste-2">
    <w:name w:val="Liste-2"/>
    <w:basedOn w:val="Liste-1"/>
    <w:qFormat/>
    <w:rsid w:val="00657B6C"/>
    <w:pPr>
      <w:numPr>
        <w:numId w:val="34"/>
      </w:numPr>
    </w:pPr>
  </w:style>
  <w:style w:type="paragraph" w:customStyle="1" w:styleId="Liste-3">
    <w:name w:val="Liste-3"/>
    <w:basedOn w:val="Liste-2"/>
    <w:qFormat/>
    <w:rsid w:val="00657B6C"/>
    <w:pPr>
      <w:numPr>
        <w:numId w:val="35"/>
      </w:numPr>
      <w:tabs>
        <w:tab w:val="clear" w:pos="567"/>
      </w:tabs>
    </w:pPr>
  </w:style>
  <w:style w:type="table" w:styleId="Listentabelle6farbigAkzent5">
    <w:name w:val="List Table 6 Colorful Accent 5"/>
    <w:basedOn w:val="NormaleTabelle"/>
    <w:uiPriority w:val="51"/>
    <w:rsid w:val="00657B6C"/>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ichtaufgelsteErwhnung1">
    <w:name w:val="Nicht aufgelöste Erwähnung1"/>
    <w:basedOn w:val="Absatz-Standardschriftart"/>
    <w:uiPriority w:val="99"/>
    <w:semiHidden/>
    <w:unhideWhenUsed/>
    <w:rsid w:val="00657B6C"/>
    <w:rPr>
      <w:color w:val="605E5C"/>
      <w:shd w:val="clear" w:color="auto" w:fill="E1DFDD"/>
    </w:rPr>
  </w:style>
  <w:style w:type="table" w:customStyle="1" w:styleId="Thnen-Tabelle1">
    <w:name w:val="Thünen-Tabelle 1"/>
    <w:basedOn w:val="NormaleTabelle"/>
    <w:uiPriority w:val="99"/>
    <w:rsid w:val="00657B6C"/>
    <w:rPr>
      <w:rFonts w:ascii="Calibri" w:hAnsi="Calibri"/>
      <w:color w:val="000000" w:themeColor="text1"/>
    </w:rPr>
    <w:tblPr>
      <w:tblBorders>
        <w:top w:val="single" w:sz="4" w:space="0" w:color="000000" w:themeColor="text1"/>
        <w:bottom w:val="single" w:sz="4" w:space="0" w:color="000000" w:themeColor="text1"/>
      </w:tblBorders>
    </w:tblPr>
    <w:tcPr>
      <w:vAlign w:val="center"/>
    </w:tcPr>
    <w:tblStylePr w:type="firstRow">
      <w:tblPr/>
      <w:tcPr>
        <w:tcBorders>
          <w:top w:val="single" w:sz="4" w:space="0" w:color="000000" w:themeColor="text1"/>
          <w:bottom w:val="single" w:sz="4" w:space="0" w:color="000000" w:themeColor="text1"/>
        </w:tcBorders>
      </w:tcPr>
    </w:tblStylePr>
  </w:style>
  <w:style w:type="table" w:customStyle="1" w:styleId="Thnen-Tabelle2">
    <w:name w:val="Thünen-Tabelle 2"/>
    <w:basedOn w:val="NormaleTabelle"/>
    <w:uiPriority w:val="99"/>
    <w:rsid w:val="00657B6C"/>
    <w:rPr>
      <w:rFonts w:ascii="Calibri" w:hAnsi="Calibri"/>
      <w:color w:val="000000" w:themeColor="text1"/>
    </w:rPr>
    <w:tblPr>
      <w:tblStyleRowBandSize w:val="1"/>
    </w:tblPr>
    <w:tblStylePr w:type="firstRow">
      <w:rPr>
        <w:b/>
        <w:color w:val="FFFFFF" w:themeColor="background1"/>
      </w:rPr>
      <w:tblPr/>
      <w:tcPr>
        <w:shd w:val="clear" w:color="auto" w:fill="008CD2"/>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berschriftohneNum">
    <w:name w:val="Überschrift ohne Num."/>
    <w:basedOn w:val="berschrift1"/>
    <w:next w:val="Standard"/>
    <w:link w:val="berschriftohneNumZchn"/>
    <w:qFormat/>
    <w:rsid w:val="00657B6C"/>
    <w:pPr>
      <w:numPr>
        <w:numId w:val="0"/>
      </w:numPr>
    </w:pPr>
  </w:style>
  <w:style w:type="character" w:customStyle="1" w:styleId="berschriftohneNumZchn">
    <w:name w:val="Überschrift ohne Num. Zchn"/>
    <w:basedOn w:val="Absatz-Standardschriftart"/>
    <w:link w:val="berschriftohneNum"/>
    <w:rsid w:val="00657B6C"/>
    <w:rPr>
      <w:rFonts w:ascii="Calibri" w:hAnsi="Calibri"/>
      <w:b/>
      <w:color w:val="008CD2"/>
      <w:sz w:val="26"/>
    </w:rPr>
  </w:style>
  <w:style w:type="paragraph" w:customStyle="1" w:styleId="Zwischenberschriftbold">
    <w:name w:val="Zwischenüberschrift bold"/>
    <w:basedOn w:val="Standard"/>
    <w:next w:val="Standard"/>
    <w:qFormat/>
    <w:rsid w:val="00657B6C"/>
    <w:pPr>
      <w:keepNext/>
      <w:spacing w:before="320"/>
    </w:pPr>
    <w:rPr>
      <w:b/>
    </w:rPr>
  </w:style>
  <w:style w:type="paragraph" w:customStyle="1" w:styleId="Zwischenberschriftkursiv">
    <w:name w:val="Zwischenüberschrift kursiv"/>
    <w:basedOn w:val="Zwischenberschriftbold"/>
    <w:next w:val="Standard"/>
    <w:qFormat/>
    <w:rsid w:val="00657B6C"/>
    <w:rPr>
      <w:b w:val="0"/>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144">
      <w:bodyDiv w:val="1"/>
      <w:marLeft w:val="0"/>
      <w:marRight w:val="0"/>
      <w:marTop w:val="0"/>
      <w:marBottom w:val="0"/>
      <w:divBdr>
        <w:top w:val="none" w:sz="0" w:space="0" w:color="auto"/>
        <w:left w:val="none" w:sz="0" w:space="0" w:color="auto"/>
        <w:bottom w:val="none" w:sz="0" w:space="0" w:color="auto"/>
        <w:right w:val="none" w:sz="0" w:space="0" w:color="auto"/>
      </w:divBdr>
    </w:div>
    <w:div w:id="60567007">
      <w:bodyDiv w:val="1"/>
      <w:marLeft w:val="0"/>
      <w:marRight w:val="0"/>
      <w:marTop w:val="0"/>
      <w:marBottom w:val="0"/>
      <w:divBdr>
        <w:top w:val="none" w:sz="0" w:space="0" w:color="auto"/>
        <w:left w:val="none" w:sz="0" w:space="0" w:color="auto"/>
        <w:bottom w:val="none" w:sz="0" w:space="0" w:color="auto"/>
        <w:right w:val="none" w:sz="0" w:space="0" w:color="auto"/>
      </w:divBdr>
    </w:div>
    <w:div w:id="75127336">
      <w:bodyDiv w:val="1"/>
      <w:marLeft w:val="0"/>
      <w:marRight w:val="0"/>
      <w:marTop w:val="0"/>
      <w:marBottom w:val="0"/>
      <w:divBdr>
        <w:top w:val="none" w:sz="0" w:space="0" w:color="auto"/>
        <w:left w:val="none" w:sz="0" w:space="0" w:color="auto"/>
        <w:bottom w:val="none" w:sz="0" w:space="0" w:color="auto"/>
        <w:right w:val="none" w:sz="0" w:space="0" w:color="auto"/>
      </w:divBdr>
    </w:div>
    <w:div w:id="172230104">
      <w:bodyDiv w:val="1"/>
      <w:marLeft w:val="0"/>
      <w:marRight w:val="0"/>
      <w:marTop w:val="0"/>
      <w:marBottom w:val="0"/>
      <w:divBdr>
        <w:top w:val="none" w:sz="0" w:space="0" w:color="auto"/>
        <w:left w:val="none" w:sz="0" w:space="0" w:color="auto"/>
        <w:bottom w:val="none" w:sz="0" w:space="0" w:color="auto"/>
        <w:right w:val="none" w:sz="0" w:space="0" w:color="auto"/>
      </w:divBdr>
    </w:div>
    <w:div w:id="193616321">
      <w:bodyDiv w:val="1"/>
      <w:marLeft w:val="0"/>
      <w:marRight w:val="0"/>
      <w:marTop w:val="0"/>
      <w:marBottom w:val="0"/>
      <w:divBdr>
        <w:top w:val="none" w:sz="0" w:space="0" w:color="auto"/>
        <w:left w:val="none" w:sz="0" w:space="0" w:color="auto"/>
        <w:bottom w:val="none" w:sz="0" w:space="0" w:color="auto"/>
        <w:right w:val="none" w:sz="0" w:space="0" w:color="auto"/>
      </w:divBdr>
    </w:div>
    <w:div w:id="265775679">
      <w:bodyDiv w:val="1"/>
      <w:marLeft w:val="0"/>
      <w:marRight w:val="0"/>
      <w:marTop w:val="0"/>
      <w:marBottom w:val="0"/>
      <w:divBdr>
        <w:top w:val="none" w:sz="0" w:space="0" w:color="auto"/>
        <w:left w:val="none" w:sz="0" w:space="0" w:color="auto"/>
        <w:bottom w:val="none" w:sz="0" w:space="0" w:color="auto"/>
        <w:right w:val="none" w:sz="0" w:space="0" w:color="auto"/>
      </w:divBdr>
      <w:divsChild>
        <w:div w:id="1047800085">
          <w:marLeft w:val="547"/>
          <w:marRight w:val="0"/>
          <w:marTop w:val="0"/>
          <w:marBottom w:val="120"/>
          <w:divBdr>
            <w:top w:val="none" w:sz="0" w:space="0" w:color="auto"/>
            <w:left w:val="none" w:sz="0" w:space="0" w:color="auto"/>
            <w:bottom w:val="none" w:sz="0" w:space="0" w:color="auto"/>
            <w:right w:val="none" w:sz="0" w:space="0" w:color="auto"/>
          </w:divBdr>
        </w:div>
        <w:div w:id="1830822755">
          <w:marLeft w:val="547"/>
          <w:marRight w:val="0"/>
          <w:marTop w:val="0"/>
          <w:marBottom w:val="120"/>
          <w:divBdr>
            <w:top w:val="none" w:sz="0" w:space="0" w:color="auto"/>
            <w:left w:val="none" w:sz="0" w:space="0" w:color="auto"/>
            <w:bottom w:val="none" w:sz="0" w:space="0" w:color="auto"/>
            <w:right w:val="none" w:sz="0" w:space="0" w:color="auto"/>
          </w:divBdr>
        </w:div>
      </w:divsChild>
    </w:div>
    <w:div w:id="276061964">
      <w:bodyDiv w:val="1"/>
      <w:marLeft w:val="0"/>
      <w:marRight w:val="0"/>
      <w:marTop w:val="0"/>
      <w:marBottom w:val="0"/>
      <w:divBdr>
        <w:top w:val="none" w:sz="0" w:space="0" w:color="auto"/>
        <w:left w:val="none" w:sz="0" w:space="0" w:color="auto"/>
        <w:bottom w:val="none" w:sz="0" w:space="0" w:color="auto"/>
        <w:right w:val="none" w:sz="0" w:space="0" w:color="auto"/>
      </w:divBdr>
    </w:div>
    <w:div w:id="279074599">
      <w:bodyDiv w:val="1"/>
      <w:marLeft w:val="0"/>
      <w:marRight w:val="0"/>
      <w:marTop w:val="0"/>
      <w:marBottom w:val="0"/>
      <w:divBdr>
        <w:top w:val="none" w:sz="0" w:space="0" w:color="auto"/>
        <w:left w:val="none" w:sz="0" w:space="0" w:color="auto"/>
        <w:bottom w:val="none" w:sz="0" w:space="0" w:color="auto"/>
        <w:right w:val="none" w:sz="0" w:space="0" w:color="auto"/>
      </w:divBdr>
    </w:div>
    <w:div w:id="290787304">
      <w:bodyDiv w:val="1"/>
      <w:marLeft w:val="0"/>
      <w:marRight w:val="0"/>
      <w:marTop w:val="0"/>
      <w:marBottom w:val="0"/>
      <w:divBdr>
        <w:top w:val="none" w:sz="0" w:space="0" w:color="auto"/>
        <w:left w:val="none" w:sz="0" w:space="0" w:color="auto"/>
        <w:bottom w:val="none" w:sz="0" w:space="0" w:color="auto"/>
        <w:right w:val="none" w:sz="0" w:space="0" w:color="auto"/>
      </w:divBdr>
    </w:div>
    <w:div w:id="305546710">
      <w:bodyDiv w:val="1"/>
      <w:marLeft w:val="0"/>
      <w:marRight w:val="0"/>
      <w:marTop w:val="0"/>
      <w:marBottom w:val="0"/>
      <w:divBdr>
        <w:top w:val="none" w:sz="0" w:space="0" w:color="auto"/>
        <w:left w:val="none" w:sz="0" w:space="0" w:color="auto"/>
        <w:bottom w:val="none" w:sz="0" w:space="0" w:color="auto"/>
        <w:right w:val="none" w:sz="0" w:space="0" w:color="auto"/>
      </w:divBdr>
    </w:div>
    <w:div w:id="602491938">
      <w:bodyDiv w:val="1"/>
      <w:marLeft w:val="0"/>
      <w:marRight w:val="0"/>
      <w:marTop w:val="0"/>
      <w:marBottom w:val="0"/>
      <w:divBdr>
        <w:top w:val="none" w:sz="0" w:space="0" w:color="auto"/>
        <w:left w:val="none" w:sz="0" w:space="0" w:color="auto"/>
        <w:bottom w:val="none" w:sz="0" w:space="0" w:color="auto"/>
        <w:right w:val="none" w:sz="0" w:space="0" w:color="auto"/>
      </w:divBdr>
    </w:div>
    <w:div w:id="623511258">
      <w:bodyDiv w:val="1"/>
      <w:marLeft w:val="0"/>
      <w:marRight w:val="0"/>
      <w:marTop w:val="0"/>
      <w:marBottom w:val="0"/>
      <w:divBdr>
        <w:top w:val="none" w:sz="0" w:space="0" w:color="auto"/>
        <w:left w:val="none" w:sz="0" w:space="0" w:color="auto"/>
        <w:bottom w:val="none" w:sz="0" w:space="0" w:color="auto"/>
        <w:right w:val="none" w:sz="0" w:space="0" w:color="auto"/>
      </w:divBdr>
    </w:div>
    <w:div w:id="680205359">
      <w:bodyDiv w:val="1"/>
      <w:marLeft w:val="0"/>
      <w:marRight w:val="0"/>
      <w:marTop w:val="0"/>
      <w:marBottom w:val="0"/>
      <w:divBdr>
        <w:top w:val="none" w:sz="0" w:space="0" w:color="auto"/>
        <w:left w:val="none" w:sz="0" w:space="0" w:color="auto"/>
        <w:bottom w:val="none" w:sz="0" w:space="0" w:color="auto"/>
        <w:right w:val="none" w:sz="0" w:space="0" w:color="auto"/>
      </w:divBdr>
    </w:div>
    <w:div w:id="791217683">
      <w:bodyDiv w:val="1"/>
      <w:marLeft w:val="0"/>
      <w:marRight w:val="0"/>
      <w:marTop w:val="0"/>
      <w:marBottom w:val="0"/>
      <w:divBdr>
        <w:top w:val="none" w:sz="0" w:space="0" w:color="auto"/>
        <w:left w:val="none" w:sz="0" w:space="0" w:color="auto"/>
        <w:bottom w:val="none" w:sz="0" w:space="0" w:color="auto"/>
        <w:right w:val="none" w:sz="0" w:space="0" w:color="auto"/>
      </w:divBdr>
    </w:div>
    <w:div w:id="834106571">
      <w:bodyDiv w:val="1"/>
      <w:marLeft w:val="0"/>
      <w:marRight w:val="0"/>
      <w:marTop w:val="0"/>
      <w:marBottom w:val="0"/>
      <w:divBdr>
        <w:top w:val="none" w:sz="0" w:space="0" w:color="auto"/>
        <w:left w:val="none" w:sz="0" w:space="0" w:color="auto"/>
        <w:bottom w:val="none" w:sz="0" w:space="0" w:color="auto"/>
        <w:right w:val="none" w:sz="0" w:space="0" w:color="auto"/>
      </w:divBdr>
      <w:divsChild>
        <w:div w:id="44765345">
          <w:marLeft w:val="0"/>
          <w:marRight w:val="0"/>
          <w:marTop w:val="0"/>
          <w:marBottom w:val="0"/>
          <w:divBdr>
            <w:top w:val="none" w:sz="0" w:space="0" w:color="auto"/>
            <w:left w:val="none" w:sz="0" w:space="0" w:color="auto"/>
            <w:bottom w:val="none" w:sz="0" w:space="0" w:color="auto"/>
            <w:right w:val="none" w:sz="0" w:space="0" w:color="auto"/>
          </w:divBdr>
        </w:div>
        <w:div w:id="114905649">
          <w:marLeft w:val="0"/>
          <w:marRight w:val="0"/>
          <w:marTop w:val="0"/>
          <w:marBottom w:val="0"/>
          <w:divBdr>
            <w:top w:val="none" w:sz="0" w:space="0" w:color="auto"/>
            <w:left w:val="none" w:sz="0" w:space="0" w:color="auto"/>
            <w:bottom w:val="none" w:sz="0" w:space="0" w:color="auto"/>
            <w:right w:val="none" w:sz="0" w:space="0" w:color="auto"/>
          </w:divBdr>
        </w:div>
        <w:div w:id="256063245">
          <w:marLeft w:val="0"/>
          <w:marRight w:val="0"/>
          <w:marTop w:val="0"/>
          <w:marBottom w:val="0"/>
          <w:divBdr>
            <w:top w:val="none" w:sz="0" w:space="0" w:color="auto"/>
            <w:left w:val="none" w:sz="0" w:space="0" w:color="auto"/>
            <w:bottom w:val="none" w:sz="0" w:space="0" w:color="auto"/>
            <w:right w:val="none" w:sz="0" w:space="0" w:color="auto"/>
          </w:divBdr>
        </w:div>
      </w:divsChild>
    </w:div>
    <w:div w:id="889147453">
      <w:bodyDiv w:val="1"/>
      <w:marLeft w:val="0"/>
      <w:marRight w:val="0"/>
      <w:marTop w:val="0"/>
      <w:marBottom w:val="0"/>
      <w:divBdr>
        <w:top w:val="none" w:sz="0" w:space="0" w:color="auto"/>
        <w:left w:val="none" w:sz="0" w:space="0" w:color="auto"/>
        <w:bottom w:val="none" w:sz="0" w:space="0" w:color="auto"/>
        <w:right w:val="none" w:sz="0" w:space="0" w:color="auto"/>
      </w:divBdr>
      <w:divsChild>
        <w:div w:id="252588600">
          <w:marLeft w:val="446"/>
          <w:marRight w:val="0"/>
          <w:marTop w:val="0"/>
          <w:marBottom w:val="0"/>
          <w:divBdr>
            <w:top w:val="none" w:sz="0" w:space="0" w:color="auto"/>
            <w:left w:val="none" w:sz="0" w:space="0" w:color="auto"/>
            <w:bottom w:val="none" w:sz="0" w:space="0" w:color="auto"/>
            <w:right w:val="none" w:sz="0" w:space="0" w:color="auto"/>
          </w:divBdr>
        </w:div>
      </w:divsChild>
    </w:div>
    <w:div w:id="962812573">
      <w:bodyDiv w:val="1"/>
      <w:marLeft w:val="0"/>
      <w:marRight w:val="0"/>
      <w:marTop w:val="0"/>
      <w:marBottom w:val="0"/>
      <w:divBdr>
        <w:top w:val="none" w:sz="0" w:space="0" w:color="auto"/>
        <w:left w:val="none" w:sz="0" w:space="0" w:color="auto"/>
        <w:bottom w:val="none" w:sz="0" w:space="0" w:color="auto"/>
        <w:right w:val="none" w:sz="0" w:space="0" w:color="auto"/>
      </w:divBdr>
    </w:div>
    <w:div w:id="987590675">
      <w:bodyDiv w:val="1"/>
      <w:marLeft w:val="0"/>
      <w:marRight w:val="0"/>
      <w:marTop w:val="0"/>
      <w:marBottom w:val="0"/>
      <w:divBdr>
        <w:top w:val="none" w:sz="0" w:space="0" w:color="auto"/>
        <w:left w:val="none" w:sz="0" w:space="0" w:color="auto"/>
        <w:bottom w:val="none" w:sz="0" w:space="0" w:color="auto"/>
        <w:right w:val="none" w:sz="0" w:space="0" w:color="auto"/>
      </w:divBdr>
    </w:div>
    <w:div w:id="1005397018">
      <w:bodyDiv w:val="1"/>
      <w:marLeft w:val="0"/>
      <w:marRight w:val="0"/>
      <w:marTop w:val="0"/>
      <w:marBottom w:val="0"/>
      <w:divBdr>
        <w:top w:val="none" w:sz="0" w:space="0" w:color="auto"/>
        <w:left w:val="none" w:sz="0" w:space="0" w:color="auto"/>
        <w:bottom w:val="none" w:sz="0" w:space="0" w:color="auto"/>
        <w:right w:val="none" w:sz="0" w:space="0" w:color="auto"/>
      </w:divBdr>
      <w:divsChild>
        <w:div w:id="589437715">
          <w:marLeft w:val="547"/>
          <w:marRight w:val="0"/>
          <w:marTop w:val="0"/>
          <w:marBottom w:val="0"/>
          <w:divBdr>
            <w:top w:val="none" w:sz="0" w:space="0" w:color="auto"/>
            <w:left w:val="none" w:sz="0" w:space="0" w:color="auto"/>
            <w:bottom w:val="none" w:sz="0" w:space="0" w:color="auto"/>
            <w:right w:val="none" w:sz="0" w:space="0" w:color="auto"/>
          </w:divBdr>
        </w:div>
      </w:divsChild>
    </w:div>
    <w:div w:id="1076054592">
      <w:bodyDiv w:val="1"/>
      <w:marLeft w:val="0"/>
      <w:marRight w:val="0"/>
      <w:marTop w:val="0"/>
      <w:marBottom w:val="0"/>
      <w:divBdr>
        <w:top w:val="none" w:sz="0" w:space="0" w:color="auto"/>
        <w:left w:val="none" w:sz="0" w:space="0" w:color="auto"/>
        <w:bottom w:val="none" w:sz="0" w:space="0" w:color="auto"/>
        <w:right w:val="none" w:sz="0" w:space="0" w:color="auto"/>
      </w:divBdr>
    </w:div>
    <w:div w:id="1118528894">
      <w:bodyDiv w:val="1"/>
      <w:marLeft w:val="0"/>
      <w:marRight w:val="0"/>
      <w:marTop w:val="0"/>
      <w:marBottom w:val="0"/>
      <w:divBdr>
        <w:top w:val="none" w:sz="0" w:space="0" w:color="auto"/>
        <w:left w:val="none" w:sz="0" w:space="0" w:color="auto"/>
        <w:bottom w:val="none" w:sz="0" w:space="0" w:color="auto"/>
        <w:right w:val="none" w:sz="0" w:space="0" w:color="auto"/>
      </w:divBdr>
      <w:divsChild>
        <w:div w:id="1477724915">
          <w:marLeft w:val="1166"/>
          <w:marRight w:val="0"/>
          <w:marTop w:val="0"/>
          <w:marBottom w:val="0"/>
          <w:divBdr>
            <w:top w:val="none" w:sz="0" w:space="0" w:color="auto"/>
            <w:left w:val="none" w:sz="0" w:space="0" w:color="auto"/>
            <w:bottom w:val="none" w:sz="0" w:space="0" w:color="auto"/>
            <w:right w:val="none" w:sz="0" w:space="0" w:color="auto"/>
          </w:divBdr>
        </w:div>
        <w:div w:id="1295911835">
          <w:marLeft w:val="1166"/>
          <w:marRight w:val="0"/>
          <w:marTop w:val="0"/>
          <w:marBottom w:val="0"/>
          <w:divBdr>
            <w:top w:val="none" w:sz="0" w:space="0" w:color="auto"/>
            <w:left w:val="none" w:sz="0" w:space="0" w:color="auto"/>
            <w:bottom w:val="none" w:sz="0" w:space="0" w:color="auto"/>
            <w:right w:val="none" w:sz="0" w:space="0" w:color="auto"/>
          </w:divBdr>
        </w:div>
      </w:divsChild>
    </w:div>
    <w:div w:id="1183979121">
      <w:bodyDiv w:val="1"/>
      <w:marLeft w:val="0"/>
      <w:marRight w:val="0"/>
      <w:marTop w:val="0"/>
      <w:marBottom w:val="0"/>
      <w:divBdr>
        <w:top w:val="none" w:sz="0" w:space="0" w:color="auto"/>
        <w:left w:val="none" w:sz="0" w:space="0" w:color="auto"/>
        <w:bottom w:val="none" w:sz="0" w:space="0" w:color="auto"/>
        <w:right w:val="none" w:sz="0" w:space="0" w:color="auto"/>
      </w:divBdr>
    </w:div>
    <w:div w:id="1228875631">
      <w:bodyDiv w:val="1"/>
      <w:marLeft w:val="0"/>
      <w:marRight w:val="0"/>
      <w:marTop w:val="0"/>
      <w:marBottom w:val="0"/>
      <w:divBdr>
        <w:top w:val="none" w:sz="0" w:space="0" w:color="auto"/>
        <w:left w:val="none" w:sz="0" w:space="0" w:color="auto"/>
        <w:bottom w:val="none" w:sz="0" w:space="0" w:color="auto"/>
        <w:right w:val="none" w:sz="0" w:space="0" w:color="auto"/>
      </w:divBdr>
    </w:div>
    <w:div w:id="1237516570">
      <w:bodyDiv w:val="1"/>
      <w:marLeft w:val="0"/>
      <w:marRight w:val="0"/>
      <w:marTop w:val="0"/>
      <w:marBottom w:val="0"/>
      <w:divBdr>
        <w:top w:val="none" w:sz="0" w:space="0" w:color="auto"/>
        <w:left w:val="none" w:sz="0" w:space="0" w:color="auto"/>
        <w:bottom w:val="none" w:sz="0" w:space="0" w:color="auto"/>
        <w:right w:val="none" w:sz="0" w:space="0" w:color="auto"/>
      </w:divBdr>
    </w:div>
    <w:div w:id="1539077169">
      <w:bodyDiv w:val="1"/>
      <w:marLeft w:val="0"/>
      <w:marRight w:val="0"/>
      <w:marTop w:val="0"/>
      <w:marBottom w:val="0"/>
      <w:divBdr>
        <w:top w:val="none" w:sz="0" w:space="0" w:color="auto"/>
        <w:left w:val="none" w:sz="0" w:space="0" w:color="auto"/>
        <w:bottom w:val="none" w:sz="0" w:space="0" w:color="auto"/>
        <w:right w:val="none" w:sz="0" w:space="0" w:color="auto"/>
      </w:divBdr>
    </w:div>
    <w:div w:id="1579287218">
      <w:bodyDiv w:val="1"/>
      <w:marLeft w:val="0"/>
      <w:marRight w:val="0"/>
      <w:marTop w:val="0"/>
      <w:marBottom w:val="0"/>
      <w:divBdr>
        <w:top w:val="none" w:sz="0" w:space="0" w:color="auto"/>
        <w:left w:val="none" w:sz="0" w:space="0" w:color="auto"/>
        <w:bottom w:val="none" w:sz="0" w:space="0" w:color="auto"/>
        <w:right w:val="none" w:sz="0" w:space="0" w:color="auto"/>
      </w:divBdr>
    </w:div>
    <w:div w:id="1669752654">
      <w:bodyDiv w:val="1"/>
      <w:marLeft w:val="0"/>
      <w:marRight w:val="0"/>
      <w:marTop w:val="0"/>
      <w:marBottom w:val="0"/>
      <w:divBdr>
        <w:top w:val="none" w:sz="0" w:space="0" w:color="auto"/>
        <w:left w:val="none" w:sz="0" w:space="0" w:color="auto"/>
        <w:bottom w:val="none" w:sz="0" w:space="0" w:color="auto"/>
        <w:right w:val="none" w:sz="0" w:space="0" w:color="auto"/>
      </w:divBdr>
    </w:div>
    <w:div w:id="1719697191">
      <w:bodyDiv w:val="1"/>
      <w:marLeft w:val="0"/>
      <w:marRight w:val="0"/>
      <w:marTop w:val="0"/>
      <w:marBottom w:val="0"/>
      <w:divBdr>
        <w:top w:val="none" w:sz="0" w:space="0" w:color="auto"/>
        <w:left w:val="none" w:sz="0" w:space="0" w:color="auto"/>
        <w:bottom w:val="none" w:sz="0" w:space="0" w:color="auto"/>
        <w:right w:val="none" w:sz="0" w:space="0" w:color="auto"/>
      </w:divBdr>
    </w:div>
    <w:div w:id="1788546871">
      <w:bodyDiv w:val="1"/>
      <w:marLeft w:val="0"/>
      <w:marRight w:val="0"/>
      <w:marTop w:val="0"/>
      <w:marBottom w:val="0"/>
      <w:divBdr>
        <w:top w:val="none" w:sz="0" w:space="0" w:color="auto"/>
        <w:left w:val="none" w:sz="0" w:space="0" w:color="auto"/>
        <w:bottom w:val="none" w:sz="0" w:space="0" w:color="auto"/>
        <w:right w:val="none" w:sz="0" w:space="0" w:color="auto"/>
      </w:divBdr>
    </w:div>
    <w:div w:id="1880821129">
      <w:bodyDiv w:val="1"/>
      <w:marLeft w:val="0"/>
      <w:marRight w:val="0"/>
      <w:marTop w:val="0"/>
      <w:marBottom w:val="0"/>
      <w:divBdr>
        <w:top w:val="none" w:sz="0" w:space="0" w:color="auto"/>
        <w:left w:val="none" w:sz="0" w:space="0" w:color="auto"/>
        <w:bottom w:val="none" w:sz="0" w:space="0" w:color="auto"/>
        <w:right w:val="none" w:sz="0" w:space="0" w:color="auto"/>
      </w:divBdr>
      <w:divsChild>
        <w:div w:id="719944355">
          <w:marLeft w:val="446"/>
          <w:marRight w:val="0"/>
          <w:marTop w:val="0"/>
          <w:marBottom w:val="0"/>
          <w:divBdr>
            <w:top w:val="none" w:sz="0" w:space="0" w:color="auto"/>
            <w:left w:val="none" w:sz="0" w:space="0" w:color="auto"/>
            <w:bottom w:val="none" w:sz="0" w:space="0" w:color="auto"/>
            <w:right w:val="none" w:sz="0" w:space="0" w:color="auto"/>
          </w:divBdr>
        </w:div>
      </w:divsChild>
    </w:div>
    <w:div w:id="1890648885">
      <w:bodyDiv w:val="1"/>
      <w:marLeft w:val="0"/>
      <w:marRight w:val="0"/>
      <w:marTop w:val="0"/>
      <w:marBottom w:val="0"/>
      <w:divBdr>
        <w:top w:val="none" w:sz="0" w:space="0" w:color="auto"/>
        <w:left w:val="none" w:sz="0" w:space="0" w:color="auto"/>
        <w:bottom w:val="none" w:sz="0" w:space="0" w:color="auto"/>
        <w:right w:val="none" w:sz="0" w:space="0" w:color="auto"/>
      </w:divBdr>
    </w:div>
    <w:div w:id="2017003433">
      <w:bodyDiv w:val="1"/>
      <w:marLeft w:val="0"/>
      <w:marRight w:val="0"/>
      <w:marTop w:val="0"/>
      <w:marBottom w:val="0"/>
      <w:divBdr>
        <w:top w:val="none" w:sz="0" w:space="0" w:color="auto"/>
        <w:left w:val="none" w:sz="0" w:space="0" w:color="auto"/>
        <w:bottom w:val="none" w:sz="0" w:space="0" w:color="auto"/>
        <w:right w:val="none" w:sz="0" w:space="0" w:color="auto"/>
      </w:divBdr>
    </w:div>
    <w:div w:id="209665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s://www.mdpi.com/2076-2615/11/8/231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5677083333333"/>
          <c:y val="3.6454012345679014E-2"/>
          <c:w val="0.86958906250000001"/>
          <c:h val="0.72339574759945113"/>
        </c:manualLayout>
      </c:layout>
      <c:lineChart>
        <c:grouping val="standard"/>
        <c:varyColors val="0"/>
        <c:ser>
          <c:idx val="0"/>
          <c:order val="0"/>
          <c:tx>
            <c:strRef>
              <c:f>'Finished Cattle Index'!$B$1</c:f>
              <c:strCache>
                <c:ptCount val="1"/>
                <c:pt idx="0">
                  <c:v>ab Finished Cattle Price Index</c:v>
                </c:pt>
              </c:strCache>
            </c:strRef>
          </c:tx>
          <c:spPr>
            <a:ln w="28575" cap="rnd">
              <a:solidFill>
                <a:srgbClr val="C00000"/>
              </a:solidFill>
              <a:round/>
            </a:ln>
            <a:effectLst/>
          </c:spPr>
          <c:marker>
            <c:symbol val="none"/>
          </c:marker>
          <c:cat>
            <c:strRef>
              <c:f>'Finished Cattle Index'!$A$3:$A$28</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'Finished Cattle Index'!$B$3:$B$28</c:f>
              <c:numCache>
                <c:formatCode>0.00</c:formatCode>
                <c:ptCount val="26"/>
                <c:pt idx="0">
                  <c:v>42.788114000410985</c:v>
                </c:pt>
                <c:pt idx="1">
                  <c:v>41.426125764853012</c:v>
                </c:pt>
                <c:pt idx="2">
                  <c:v>40.347730449291085</c:v>
                </c:pt>
                <c:pt idx="3">
                  <c:v>46.548063973125167</c:v>
                </c:pt>
                <c:pt idx="4">
                  <c:v>50.939849383435678</c:v>
                </c:pt>
                <c:pt idx="5">
                  <c:v>55.204393175461341</c:v>
                </c:pt>
                <c:pt idx="6">
                  <c:v>57.268805633438092</c:v>
                </c:pt>
                <c:pt idx="7">
                  <c:v>66.497328170552663</c:v>
                </c:pt>
                <c:pt idx="8">
                  <c:v>78.226434023387313</c:v>
                </c:pt>
                <c:pt idx="9">
                  <c:v>70.401719844635593</c:v>
                </c:pt>
                <c:pt idx="10">
                  <c:v>80.930154959445204</c:v>
                </c:pt>
                <c:pt idx="11">
                  <c:v>98.998370948943219</c:v>
                </c:pt>
                <c:pt idx="12">
                  <c:v>97.383668348262546</c:v>
                </c:pt>
                <c:pt idx="13">
                  <c:v>98.769617515239943</c:v>
                </c:pt>
                <c:pt idx="14">
                  <c:v>106.86042716765012</c:v>
                </c:pt>
                <c:pt idx="15">
                  <c:v>99.572702246774838</c:v>
                </c:pt>
                <c:pt idx="16">
                  <c:v>93.566870585575018</c:v>
                </c:pt>
                <c:pt idx="17">
                  <c:v>96.835588392068544</c:v>
                </c:pt>
                <c:pt idx="18">
                  <c:v>93.040009463765088</c:v>
                </c:pt>
                <c:pt idx="19">
                  <c:v>92.093796568918862</c:v>
                </c:pt>
                <c:pt idx="20">
                  <c:v>94.166478189428531</c:v>
                </c:pt>
                <c:pt idx="21">
                  <c:v>111.3231722072651</c:v>
                </c:pt>
                <c:pt idx="22">
                  <c:v>119.67301168085795</c:v>
                </c:pt>
                <c:pt idx="23">
                  <c:v>119.02006037766652</c:v>
                </c:pt>
                <c:pt idx="24">
                  <c:v>118.73725083225514</c:v>
                </c:pt>
                <c:pt idx="25">
                  <c:v>138.0206637287294</c:v>
                </c:pt>
              </c:numCache>
            </c:numRef>
          </c:val>
          <c:smooth val="0"/>
          <c:extLst>
            <c:ext xmlns:c16="http://schemas.microsoft.com/office/drawing/2014/chart" uri="{C3380CC4-5D6E-409C-BE32-E72D297353CC}">
              <c16:uniqueId val="{00000000-9D5B-4F90-B0BE-6D3D69816E75}"/>
            </c:ext>
          </c:extLst>
        </c:ser>
        <c:dLbls>
          <c:showLegendKey val="0"/>
          <c:showVal val="0"/>
          <c:showCatName val="0"/>
          <c:showSerName val="0"/>
          <c:showPercent val="0"/>
          <c:showBubbleSize val="0"/>
        </c:dLbls>
        <c:smooth val="0"/>
        <c:axId val="239908287"/>
        <c:axId val="139265279"/>
      </c:lineChart>
      <c:catAx>
        <c:axId val="239908287"/>
        <c:scaling>
          <c:orientation val="minMax"/>
        </c:scaling>
        <c:delete val="0"/>
        <c:axPos val="b"/>
        <c:title>
          <c:tx>
            <c:rich>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r>
                  <a:rPr lang="en-US" sz="1050" b="0" i="0" baseline="0">
                    <a:effectLst/>
                  </a:rPr>
                  <a:t>Calender Year</a:t>
                </a:r>
                <a:endParaRPr lang="en-US" sz="1050">
                  <a:effectLst/>
                </a:endParaRPr>
              </a:p>
            </c:rich>
          </c:tx>
          <c:layout>
            <c:manualLayout>
              <c:xMode val="edge"/>
              <c:yMode val="edge"/>
              <c:x val="0.45865319715111152"/>
              <c:y val="0.92486337345200864"/>
            </c:manualLayout>
          </c:layout>
          <c:overlay val="0"/>
          <c:spPr>
            <a:noFill/>
            <a:ln>
              <a:noFill/>
            </a:ln>
            <a:effectLst/>
          </c:spPr>
          <c:txPr>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lang="en-US" sz="1050" b="0" i="0" u="none" strike="noStrike" kern="1200" baseline="0">
                <a:solidFill>
                  <a:schemeClr val="tx1"/>
                </a:solidFill>
                <a:latin typeface="+mn-lt"/>
                <a:ea typeface="+mn-ea"/>
                <a:cs typeface="+mn-cs"/>
              </a:defRPr>
            </a:pPr>
            <a:endParaRPr lang="de-DE"/>
          </a:p>
        </c:txPr>
        <c:crossAx val="139265279"/>
        <c:crosses val="autoZero"/>
        <c:auto val="1"/>
        <c:lblAlgn val="ctr"/>
        <c:lblOffset val="100"/>
        <c:noMultiLvlLbl val="0"/>
      </c:catAx>
      <c:valAx>
        <c:axId val="139265279"/>
        <c:scaling>
          <c:orientation val="minMax"/>
          <c:max val="150"/>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r>
                  <a:rPr lang="en-US" sz="1050" b="0" i="0" baseline="0">
                    <a:effectLst/>
                  </a:rPr>
                  <a:t>Index Base 2014</a:t>
                </a:r>
                <a:r>
                  <a:rPr lang="en-GB" sz="1050" b="0" i="0" u="none" strike="noStrike" baseline="0">
                    <a:effectLst/>
                  </a:rPr>
                  <a:t>–</a:t>
                </a:r>
                <a:r>
                  <a:rPr lang="en-US" sz="1050" b="0" i="0" baseline="0">
                    <a:effectLst/>
                  </a:rPr>
                  <a:t>2016=100</a:t>
                </a:r>
                <a:endParaRPr lang="en-US" sz="1050">
                  <a:effectLst/>
                </a:endParaRPr>
              </a:p>
            </c:rich>
          </c:tx>
          <c:layout>
            <c:manualLayout>
              <c:xMode val="edge"/>
              <c:yMode val="edge"/>
              <c:x val="1.1351272309091675E-4"/>
              <c:y val="0.14940280311294032"/>
            </c:manualLayout>
          </c:layout>
          <c:overlay val="0"/>
          <c:spPr>
            <a:noFill/>
            <a:ln>
              <a:noFill/>
            </a:ln>
            <a:effectLst/>
          </c:spPr>
          <c:txPr>
            <a:bodyPr rot="-54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crossAx val="239908287"/>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ysClr val="windowText" lastClr="000000"/>
          </a:solidFill>
          <a:latin typeface="+mn-lt"/>
          <a:ea typeface="+mn-ea"/>
          <a:cs typeface="+mn-cs"/>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29334033906768E-2"/>
          <c:y val="3.7567766571743141E-2"/>
          <c:w val="0.90035516098731283"/>
          <c:h val="0.76098683724571947"/>
        </c:manualLayout>
      </c:layout>
      <c:barChart>
        <c:barDir val="col"/>
        <c:grouping val="clustered"/>
        <c:varyColors val="0"/>
        <c:ser>
          <c:idx val="0"/>
          <c:order val="0"/>
          <c:tx>
            <c:strRef>
              <c:f>'All ab countries'!$A$54</c:f>
              <c:strCache>
                <c:ptCount val="1"/>
                <c:pt idx="0">
                  <c:v>17</c:v>
                </c:pt>
              </c:strCache>
            </c:strRef>
          </c:tx>
          <c:spPr>
            <a:solidFill>
              <a:schemeClr val="bg2">
                <a:lumMod val="25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countries'!$B$54:$F$54</c:f>
            </c:numRef>
          </c:val>
          <c:extLst>
            <c:ext xmlns:c16="http://schemas.microsoft.com/office/drawing/2014/chart" uri="{C3380CC4-5D6E-409C-BE32-E72D297353CC}">
              <c16:uniqueId val="{00000000-DB2B-4571-94AF-01C8CDFD3CE1}"/>
            </c:ext>
          </c:extLst>
        </c:ser>
        <c:ser>
          <c:idx val="1"/>
          <c:order val="1"/>
          <c:tx>
            <c:strRef>
              <c:f>'All ab countries'!$A$55</c:f>
              <c:strCache>
                <c:ptCount val="1"/>
                <c:pt idx="0">
                  <c:v>18</c:v>
                </c:pt>
              </c:strCache>
            </c:strRef>
          </c:tx>
          <c:spPr>
            <a:solidFill>
              <a:schemeClr val="tx1">
                <a:lumMod val="65000"/>
                <a:lumOff val="35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countries'!$B$55:$F$55</c:f>
            </c:numRef>
          </c:val>
          <c:extLst>
            <c:ext xmlns:c16="http://schemas.microsoft.com/office/drawing/2014/chart" uri="{C3380CC4-5D6E-409C-BE32-E72D297353CC}">
              <c16:uniqueId val="{00000001-DB2B-4571-94AF-01C8CDFD3CE1}"/>
            </c:ext>
          </c:extLst>
        </c:ser>
        <c:ser>
          <c:idx val="2"/>
          <c:order val="2"/>
          <c:tx>
            <c:strRef>
              <c:f>'All ab countries'!$A$56</c:f>
              <c:strCache>
                <c:ptCount val="1"/>
                <c:pt idx="0">
                  <c:v>19</c:v>
                </c:pt>
              </c:strCache>
            </c:strRef>
          </c:tx>
          <c:spPr>
            <a:solidFill>
              <a:schemeClr val="bg1">
                <a:lumMod val="50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countries'!$B$56:$F$56</c:f>
            </c:numRef>
          </c:val>
          <c:extLst>
            <c:ext xmlns:c16="http://schemas.microsoft.com/office/drawing/2014/chart" uri="{C3380CC4-5D6E-409C-BE32-E72D297353CC}">
              <c16:uniqueId val="{00000002-DB2B-4571-94AF-01C8CDFD3CE1}"/>
            </c:ext>
          </c:extLst>
        </c:ser>
        <c:ser>
          <c:idx val="3"/>
          <c:order val="3"/>
          <c:tx>
            <c:strRef>
              <c:f>'All ab countries'!$A$57</c:f>
              <c:strCache>
                <c:ptCount val="1"/>
                <c:pt idx="0">
                  <c:v>20</c:v>
                </c:pt>
              </c:strCache>
            </c:strRef>
          </c:tx>
          <c:spPr>
            <a:solidFill>
              <a:schemeClr val="bg1">
                <a:lumMod val="85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countries'!$B$57:$F$57</c:f>
              <c:numCache>
                <c:formatCode>0</c:formatCode>
                <c:ptCount val="5"/>
                <c:pt idx="0">
                  <c:v>94.166478189428531</c:v>
                </c:pt>
                <c:pt idx="1">
                  <c:v>78.615080242096042</c:v>
                </c:pt>
                <c:pt idx="2">
                  <c:v>93.938356776933247</c:v>
                </c:pt>
                <c:pt idx="3">
                  <c:v>91.999095022867834</c:v>
                </c:pt>
                <c:pt idx="4">
                  <c:v>124.0313884655225</c:v>
                </c:pt>
              </c:numCache>
            </c:numRef>
          </c:val>
          <c:extLst>
            <c:ext xmlns:c16="http://schemas.microsoft.com/office/drawing/2014/chart" uri="{C3380CC4-5D6E-409C-BE32-E72D297353CC}">
              <c16:uniqueId val="{00000003-DB2B-4571-94AF-01C8CDFD3CE1}"/>
            </c:ext>
          </c:extLst>
        </c:ser>
        <c:ser>
          <c:idx val="4"/>
          <c:order val="4"/>
          <c:tx>
            <c:strRef>
              <c:f>'All ab countries'!$A$58</c:f>
              <c:strCache>
                <c:ptCount val="1"/>
                <c:pt idx="0">
                  <c:v>21</c:v>
                </c:pt>
              </c:strCache>
            </c:strRef>
          </c:tx>
          <c:spPr>
            <a:solidFill>
              <a:schemeClr val="bg1">
                <a:lumMod val="75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countries'!$B$58:$F$58</c:f>
              <c:numCache>
                <c:formatCode>0</c:formatCode>
                <c:ptCount val="5"/>
                <c:pt idx="0">
                  <c:v>111.3231722072651</c:v>
                </c:pt>
                <c:pt idx="1">
                  <c:v>89.090714248953958</c:v>
                </c:pt>
                <c:pt idx="2">
                  <c:v>107.79221853198551</c:v>
                </c:pt>
                <c:pt idx="3">
                  <c:v>114.36263387283132</c:v>
                </c:pt>
                <c:pt idx="4">
                  <c:v>134.8391235183112</c:v>
                </c:pt>
              </c:numCache>
            </c:numRef>
          </c:val>
          <c:extLst>
            <c:ext xmlns:c16="http://schemas.microsoft.com/office/drawing/2014/chart" uri="{C3380CC4-5D6E-409C-BE32-E72D297353CC}">
              <c16:uniqueId val="{00000004-DB2B-4571-94AF-01C8CDFD3CE1}"/>
            </c:ext>
          </c:extLst>
        </c:ser>
        <c:ser>
          <c:idx val="5"/>
          <c:order val="5"/>
          <c:tx>
            <c:strRef>
              <c:f>'All ab countries'!$A$59</c:f>
              <c:strCache>
                <c:ptCount val="1"/>
                <c:pt idx="0">
                  <c:v>22</c:v>
                </c:pt>
              </c:strCache>
            </c:strRef>
          </c:tx>
          <c:spPr>
            <a:solidFill>
              <a:schemeClr val="bg1">
                <a:lumMod val="65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countries'!$B$59:$F$59</c:f>
              <c:numCache>
                <c:formatCode>0</c:formatCode>
                <c:ptCount val="5"/>
                <c:pt idx="0">
                  <c:v>119.67301168085795</c:v>
                </c:pt>
                <c:pt idx="1">
                  <c:v>102.83665746729078</c:v>
                </c:pt>
                <c:pt idx="2">
                  <c:v>120.44616470632872</c:v>
                </c:pt>
                <c:pt idx="3">
                  <c:v>124.97509560630971</c:v>
                </c:pt>
                <c:pt idx="4">
                  <c:v>130.80015504016382</c:v>
                </c:pt>
              </c:numCache>
            </c:numRef>
          </c:val>
          <c:extLst>
            <c:ext xmlns:c16="http://schemas.microsoft.com/office/drawing/2014/chart" uri="{C3380CC4-5D6E-409C-BE32-E72D297353CC}">
              <c16:uniqueId val="{00000005-DB2B-4571-94AF-01C8CDFD3CE1}"/>
            </c:ext>
          </c:extLst>
        </c:ser>
        <c:ser>
          <c:idx val="6"/>
          <c:order val="6"/>
          <c:tx>
            <c:strRef>
              <c:f>'All ab countries'!$A$60</c:f>
              <c:strCache>
                <c:ptCount val="1"/>
                <c:pt idx="0">
                  <c:v>23</c:v>
                </c:pt>
              </c:strCache>
            </c:strRef>
          </c:tx>
          <c:spPr>
            <a:solidFill>
              <a:schemeClr val="tx1">
                <a:lumMod val="50000"/>
                <a:lumOff val="50000"/>
              </a:schemeClr>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countries'!$B$60:$F$60</c:f>
              <c:numCache>
                <c:formatCode>0</c:formatCode>
                <c:ptCount val="5"/>
                <c:pt idx="0">
                  <c:v>119.02006037766652</c:v>
                </c:pt>
                <c:pt idx="1">
                  <c:v>124.90606384664287</c:v>
                </c:pt>
                <c:pt idx="2">
                  <c:v>124.61770497163724</c:v>
                </c:pt>
                <c:pt idx="3">
                  <c:v>117.97550812602495</c:v>
                </c:pt>
                <c:pt idx="4">
                  <c:v>119.67047453892044</c:v>
                </c:pt>
              </c:numCache>
            </c:numRef>
          </c:val>
          <c:extLst>
            <c:ext xmlns:c16="http://schemas.microsoft.com/office/drawing/2014/chart" uri="{C3380CC4-5D6E-409C-BE32-E72D297353CC}">
              <c16:uniqueId val="{00000006-DB2B-4571-94AF-01C8CDFD3CE1}"/>
            </c:ext>
          </c:extLst>
        </c:ser>
        <c:ser>
          <c:idx val="7"/>
          <c:order val="7"/>
          <c:tx>
            <c:strRef>
              <c:f>'All ab countries'!$A$61</c:f>
              <c:strCache>
                <c:ptCount val="1"/>
                <c:pt idx="0">
                  <c:v>24</c:v>
                </c:pt>
              </c:strCache>
            </c:strRef>
          </c:tx>
          <c:spPr>
            <a:solidFill>
              <a:srgbClr val="FF0000"/>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countries'!$B$61:$F$61</c:f>
              <c:numCache>
                <c:formatCode>0</c:formatCode>
                <c:ptCount val="5"/>
                <c:pt idx="0">
                  <c:v>118.73725083225514</c:v>
                </c:pt>
                <c:pt idx="1">
                  <c:v>132.27116661116924</c:v>
                </c:pt>
                <c:pt idx="2">
                  <c:v>131.35556052321093</c:v>
                </c:pt>
                <c:pt idx="3">
                  <c:v>112.46260358579285</c:v>
                </c:pt>
                <c:pt idx="4">
                  <c:v>100.59451166426676</c:v>
                </c:pt>
              </c:numCache>
            </c:numRef>
          </c:val>
          <c:extLst>
            <c:ext xmlns:c16="http://schemas.microsoft.com/office/drawing/2014/chart" uri="{C3380CC4-5D6E-409C-BE32-E72D297353CC}">
              <c16:uniqueId val="{00000007-DB2B-4571-94AF-01C8CDFD3CE1}"/>
            </c:ext>
          </c:extLst>
        </c:ser>
        <c:ser>
          <c:idx val="8"/>
          <c:order val="8"/>
          <c:tx>
            <c:strRef>
              <c:f>'All ab countries'!$A$62</c:f>
              <c:strCache>
                <c:ptCount val="1"/>
                <c:pt idx="0">
                  <c:v>25*</c:v>
                </c:pt>
              </c:strCache>
            </c:strRef>
          </c:tx>
          <c:spPr>
            <a:solidFill>
              <a:srgbClr val="C00000"/>
            </a:solidFill>
            <a:ln>
              <a:noFill/>
            </a:ln>
            <a:effectLst/>
          </c:spPr>
          <c:invertIfNegative val="0"/>
          <c:cat>
            <c:strRef>
              <c:f>'All ab countries'!$B$52:$F$52</c:f>
              <c:strCache>
                <c:ptCount val="5"/>
                <c:pt idx="0">
                  <c:v>agri benchmark 
Finished Cattle 
Price Index</c:v>
                </c:pt>
                <c:pt idx="1">
                  <c:v>North America 
Price Index</c:v>
                </c:pt>
                <c:pt idx="2">
                  <c:v>EU Price Index</c:v>
                </c:pt>
                <c:pt idx="3">
                  <c:v>South America 
Price Index</c:v>
                </c:pt>
                <c:pt idx="4">
                  <c:v>China Price Index</c:v>
                </c:pt>
              </c:strCache>
            </c:strRef>
          </c:cat>
          <c:val>
            <c:numRef>
              <c:f>'All ab countries'!$B$62:$F$62</c:f>
              <c:numCache>
                <c:formatCode>0</c:formatCode>
                <c:ptCount val="5"/>
                <c:pt idx="0">
                  <c:v>138.0206637287294</c:v>
                </c:pt>
                <c:pt idx="1">
                  <c:v>163.90454555567115</c:v>
                </c:pt>
                <c:pt idx="2">
                  <c:v>158.17329446853716</c:v>
                </c:pt>
                <c:pt idx="3">
                  <c:v>129.17637341133164</c:v>
                </c:pt>
                <c:pt idx="4">
                  <c:v>94.854691270046445</c:v>
                </c:pt>
              </c:numCache>
            </c:numRef>
          </c:val>
          <c:extLst>
            <c:ext xmlns:c16="http://schemas.microsoft.com/office/drawing/2014/chart" uri="{C3380CC4-5D6E-409C-BE32-E72D297353CC}">
              <c16:uniqueId val="{00000008-DB2B-4571-94AF-01C8CDFD3CE1}"/>
            </c:ext>
          </c:extLst>
        </c:ser>
        <c:dLbls>
          <c:showLegendKey val="0"/>
          <c:showVal val="0"/>
          <c:showCatName val="0"/>
          <c:showSerName val="0"/>
          <c:showPercent val="0"/>
          <c:showBubbleSize val="0"/>
        </c:dLbls>
        <c:gapWidth val="219"/>
        <c:overlap val="-27"/>
        <c:axId val="1643241744"/>
        <c:axId val="1643240304"/>
      </c:barChart>
      <c:catAx>
        <c:axId val="164324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crossAx val="1643240304"/>
        <c:crosses val="autoZero"/>
        <c:auto val="1"/>
        <c:lblAlgn val="ctr"/>
        <c:lblOffset val="100"/>
        <c:noMultiLvlLbl val="0"/>
      </c:catAx>
      <c:valAx>
        <c:axId val="1643240304"/>
        <c:scaling>
          <c:orientation val="minMax"/>
          <c:max val="1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50" b="0" i="0" u="none" strike="noStrike" kern="1200" baseline="0">
                    <a:solidFill>
                      <a:sysClr val="windowText" lastClr="000000"/>
                    </a:solidFill>
                  </a:rPr>
                  <a:t>Index Base 2014-2016=100</a:t>
                </a:r>
                <a:endParaRPr lang="en-US" sz="1200" b="0" i="0" u="none" strike="noStrike" kern="1200" baseline="0">
                  <a:solidFill>
                    <a:sysClr val="windowText" lastClr="000000"/>
                  </a:solidFill>
                </a:endParaRPr>
              </a:p>
            </c:rich>
          </c:tx>
          <c:layout>
            <c:manualLayout>
              <c:xMode val="edge"/>
              <c:yMode val="edge"/>
              <c:x val="1.3290619863677363E-3"/>
              <c:y val="0.234558578735116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crossAx val="1643241744"/>
        <c:crosses val="autoZero"/>
        <c:crossBetween val="between"/>
        <c:majorUnit val="25"/>
      </c:valAx>
      <c:spPr>
        <a:noFill/>
        <a:ln>
          <a:noFill/>
        </a:ln>
        <a:effectLst/>
      </c:spPr>
    </c:plotArea>
    <c:legend>
      <c:legendPos val="b"/>
      <c:layout>
        <c:manualLayout>
          <c:xMode val="edge"/>
          <c:yMode val="edge"/>
          <c:x val="0.65338212531125928"/>
          <c:y val="4.3146027201145312E-2"/>
          <c:w val="0.29574672411771885"/>
          <c:h val="8.3750654973070937E-2"/>
        </c:manualLayout>
      </c:layout>
      <c:overlay val="0"/>
      <c:spPr>
        <a:solidFill>
          <a:sysClr val="window" lastClr="FFFFFF">
            <a:lumMod val="95000"/>
          </a:sysClr>
        </a:solidFill>
        <a:ln>
          <a:solidFill>
            <a:sysClr val="window" lastClr="FFFFFF">
              <a:lumMod val="85000"/>
            </a:sysClr>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6253361389316"/>
          <c:y val="3.8404317437848362E-2"/>
          <c:w val="0.86316958255572163"/>
          <c:h val="0.73137841671306236"/>
        </c:manualLayout>
      </c:layout>
      <c:lineChart>
        <c:grouping val="standard"/>
        <c:varyColors val="0"/>
        <c:ser>
          <c:idx val="0"/>
          <c:order val="0"/>
          <c:tx>
            <c:strRef>
              <c:f>'ab. Weaner_Cattle_Price_Index '!$X$1</c:f>
              <c:strCache>
                <c:ptCount val="1"/>
                <c:pt idx="0">
                  <c:v> agri benchmark Weaner Cattle Price Index</c:v>
                </c:pt>
              </c:strCache>
            </c:strRef>
          </c:tx>
          <c:spPr>
            <a:ln w="28575" cap="rnd">
              <a:solidFill>
                <a:srgbClr val="00B050"/>
              </a:solidFill>
              <a:round/>
            </a:ln>
            <a:effectLst/>
          </c:spPr>
          <c:marker>
            <c:symbol val="none"/>
          </c:marker>
          <c:cat>
            <c:strRef>
              <c:f>'ab. Weaner_Cattle_Price_Index '!$A$3:$A$28</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'ab. Weaner_Cattle_Price_Index '!$X$3:$X$28</c:f>
              <c:numCache>
                <c:formatCode>0.00</c:formatCode>
                <c:ptCount val="26"/>
                <c:pt idx="0">
                  <c:v>36.956225747263183</c:v>
                </c:pt>
                <c:pt idx="1">
                  <c:v>36.959368246384059</c:v>
                </c:pt>
                <c:pt idx="2">
                  <c:v>36.5452969685714</c:v>
                </c:pt>
                <c:pt idx="3">
                  <c:v>39.779642842896692</c:v>
                </c:pt>
                <c:pt idx="4">
                  <c:v>43.356276870982505</c:v>
                </c:pt>
                <c:pt idx="5">
                  <c:v>49.131862763226167</c:v>
                </c:pt>
                <c:pt idx="6">
                  <c:v>50.334181050041074</c:v>
                </c:pt>
                <c:pt idx="7">
                  <c:v>58.267051731258434</c:v>
                </c:pt>
                <c:pt idx="8">
                  <c:v>67.00385470249617</c:v>
                </c:pt>
                <c:pt idx="9">
                  <c:v>63.631830108138878</c:v>
                </c:pt>
                <c:pt idx="10">
                  <c:v>75.142237320471779</c:v>
                </c:pt>
                <c:pt idx="11">
                  <c:v>88.546985351852086</c:v>
                </c:pt>
                <c:pt idx="12">
                  <c:v>92.360590338906576</c:v>
                </c:pt>
                <c:pt idx="13">
                  <c:v>95.115383697181514</c:v>
                </c:pt>
                <c:pt idx="14">
                  <c:v>104.88780282744543</c:v>
                </c:pt>
                <c:pt idx="15">
                  <c:v>102.49991606345536</c:v>
                </c:pt>
                <c:pt idx="16">
                  <c:v>92.612281109099229</c:v>
                </c:pt>
                <c:pt idx="17">
                  <c:v>96.3742175812272</c:v>
                </c:pt>
                <c:pt idx="18">
                  <c:v>92.650096943769029</c:v>
                </c:pt>
                <c:pt idx="19">
                  <c:v>92.090278626146343</c:v>
                </c:pt>
                <c:pt idx="20">
                  <c:v>106.04091725326386</c:v>
                </c:pt>
                <c:pt idx="21">
                  <c:v>129.50001244111212</c:v>
                </c:pt>
                <c:pt idx="22">
                  <c:v>130.56355751292315</c:v>
                </c:pt>
                <c:pt idx="23">
                  <c:v>116.78949761047855</c:v>
                </c:pt>
                <c:pt idx="24">
                  <c:v>112.62620357847055</c:v>
                </c:pt>
                <c:pt idx="25">
                  <c:v>124.82033635215946</c:v>
                </c:pt>
              </c:numCache>
            </c:numRef>
          </c:val>
          <c:smooth val="0"/>
          <c:extLst>
            <c:ext xmlns:c16="http://schemas.microsoft.com/office/drawing/2014/chart" uri="{C3380CC4-5D6E-409C-BE32-E72D297353CC}">
              <c16:uniqueId val="{00000000-72C2-49C3-8855-408BF3D56886}"/>
            </c:ext>
          </c:extLst>
        </c:ser>
        <c:ser>
          <c:idx val="1"/>
          <c:order val="1"/>
          <c:tx>
            <c:strRef>
              <c:f>'ab. Weaner_Cattle_Price_Index '!$Y$1</c:f>
              <c:strCache>
                <c:ptCount val="1"/>
                <c:pt idx="0">
                  <c:v> agri benchmark Finished Cattle Price Index</c:v>
                </c:pt>
              </c:strCache>
            </c:strRef>
          </c:tx>
          <c:spPr>
            <a:ln w="28575" cap="rnd">
              <a:solidFill>
                <a:srgbClr val="EE0000"/>
              </a:solidFill>
              <a:round/>
            </a:ln>
            <a:effectLst/>
          </c:spPr>
          <c:marker>
            <c:symbol val="none"/>
          </c:marker>
          <c:cat>
            <c:strRef>
              <c:f>'ab. Weaner_Cattle_Price_Index '!$A$3:$A$28</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'ab. Weaner_Cattle_Price_Index '!$Y$3:$Y$28</c:f>
              <c:numCache>
                <c:formatCode>0.00</c:formatCode>
                <c:ptCount val="26"/>
                <c:pt idx="0">
                  <c:v>42.788114000410985</c:v>
                </c:pt>
                <c:pt idx="1">
                  <c:v>41.426125764853012</c:v>
                </c:pt>
                <c:pt idx="2">
                  <c:v>40.347730449291085</c:v>
                </c:pt>
                <c:pt idx="3">
                  <c:v>46.548063973125167</c:v>
                </c:pt>
                <c:pt idx="4">
                  <c:v>50.939849383435678</c:v>
                </c:pt>
                <c:pt idx="5">
                  <c:v>55.204393175461341</c:v>
                </c:pt>
                <c:pt idx="6">
                  <c:v>57.268805633438092</c:v>
                </c:pt>
                <c:pt idx="7">
                  <c:v>66.497328170552663</c:v>
                </c:pt>
                <c:pt idx="8">
                  <c:v>78.226434023387313</c:v>
                </c:pt>
                <c:pt idx="9">
                  <c:v>70.401719844635593</c:v>
                </c:pt>
                <c:pt idx="10">
                  <c:v>80.930154959445204</c:v>
                </c:pt>
                <c:pt idx="11">
                  <c:v>98.998370948943219</c:v>
                </c:pt>
                <c:pt idx="12">
                  <c:v>97.383668348262546</c:v>
                </c:pt>
                <c:pt idx="13">
                  <c:v>98.769617515239943</c:v>
                </c:pt>
                <c:pt idx="14">
                  <c:v>106.86042716765012</c:v>
                </c:pt>
                <c:pt idx="15">
                  <c:v>99.572702246774838</c:v>
                </c:pt>
                <c:pt idx="16">
                  <c:v>93.566870585575018</c:v>
                </c:pt>
                <c:pt idx="17">
                  <c:v>96.835588392068544</c:v>
                </c:pt>
                <c:pt idx="18">
                  <c:v>93.040009463765088</c:v>
                </c:pt>
                <c:pt idx="19">
                  <c:v>92.093796568918862</c:v>
                </c:pt>
                <c:pt idx="20">
                  <c:v>94.166478189428531</c:v>
                </c:pt>
                <c:pt idx="21">
                  <c:v>111.3231722072651</c:v>
                </c:pt>
                <c:pt idx="22">
                  <c:v>119.67301168085795</c:v>
                </c:pt>
                <c:pt idx="23">
                  <c:v>119.02006037766652</c:v>
                </c:pt>
                <c:pt idx="24">
                  <c:v>118.73725083225514</c:v>
                </c:pt>
                <c:pt idx="25">
                  <c:v>138.0206637287294</c:v>
                </c:pt>
              </c:numCache>
            </c:numRef>
          </c:val>
          <c:smooth val="0"/>
          <c:extLst>
            <c:ext xmlns:c16="http://schemas.microsoft.com/office/drawing/2014/chart" uri="{C3380CC4-5D6E-409C-BE32-E72D297353CC}">
              <c16:uniqueId val="{00000001-72C2-49C3-8855-408BF3D56886}"/>
            </c:ext>
          </c:extLst>
        </c:ser>
        <c:dLbls>
          <c:showLegendKey val="0"/>
          <c:showVal val="0"/>
          <c:showCatName val="0"/>
          <c:showSerName val="0"/>
          <c:showPercent val="0"/>
          <c:showBubbleSize val="0"/>
        </c:dLbls>
        <c:smooth val="0"/>
        <c:axId val="462015744"/>
        <c:axId val="456662496"/>
      </c:lineChart>
      <c:catAx>
        <c:axId val="462015744"/>
        <c:scaling>
          <c:orientation val="minMax"/>
        </c:scaling>
        <c:delete val="0"/>
        <c:axPos val="b"/>
        <c:title>
          <c:tx>
            <c:rich>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r>
                  <a:rPr lang="en-US" sz="1050" b="0" i="0" baseline="0">
                    <a:effectLst/>
                  </a:rPr>
                  <a:t>Calender Year</a:t>
                </a:r>
                <a:endParaRPr lang="en-US" sz="1050">
                  <a:effectLst/>
                </a:endParaRPr>
              </a:p>
            </c:rich>
          </c:tx>
          <c:layout>
            <c:manualLayout>
              <c:xMode val="edge"/>
              <c:yMode val="edge"/>
              <c:x val="0.43625311259169525"/>
              <c:y val="0.93155339484079625"/>
            </c:manualLayout>
          </c:layout>
          <c:overlay val="0"/>
          <c:spPr>
            <a:noFill/>
            <a:ln>
              <a:noFill/>
            </a:ln>
            <a:effectLst/>
          </c:spPr>
          <c:txPr>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lang="en-US" sz="1050" b="0" i="0" u="none" strike="noStrike" kern="1200" baseline="0">
                <a:solidFill>
                  <a:schemeClr val="tx1"/>
                </a:solidFill>
                <a:latin typeface="+mn-lt"/>
                <a:ea typeface="+mn-ea"/>
                <a:cs typeface="+mn-cs"/>
              </a:defRPr>
            </a:pPr>
            <a:endParaRPr lang="de-DE"/>
          </a:p>
        </c:txPr>
        <c:crossAx val="456662496"/>
        <c:crosses val="autoZero"/>
        <c:auto val="1"/>
        <c:lblAlgn val="ctr"/>
        <c:lblOffset val="100"/>
        <c:noMultiLvlLbl val="0"/>
      </c:catAx>
      <c:valAx>
        <c:axId val="456662496"/>
        <c:scaling>
          <c:orientation val="minMax"/>
          <c:max val="150"/>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r>
                  <a:rPr lang="en-US" sz="1050" b="0" i="0" baseline="0">
                    <a:effectLst/>
                  </a:rPr>
                  <a:t>Index Base 2014</a:t>
                </a:r>
                <a:r>
                  <a:rPr lang="en-GB" sz="1050" b="0" i="0" u="none" strike="noStrike" baseline="0">
                    <a:effectLst/>
                  </a:rPr>
                  <a:t>–</a:t>
                </a:r>
                <a:r>
                  <a:rPr lang="en-US" sz="1050" b="0" i="0" baseline="0">
                    <a:effectLst/>
                  </a:rPr>
                  <a:t>2016=100</a:t>
                </a:r>
                <a:endParaRPr lang="en-US" sz="1050">
                  <a:effectLst/>
                </a:endParaRPr>
              </a:p>
            </c:rich>
          </c:tx>
          <c:layout>
            <c:manualLayout>
              <c:xMode val="edge"/>
              <c:yMode val="edge"/>
              <c:x val="2.0751732956457362E-3"/>
              <c:y val="0.16812481773111695"/>
            </c:manualLayout>
          </c:layout>
          <c:overlay val="0"/>
          <c:spPr>
            <a:noFill/>
            <a:ln>
              <a:noFill/>
            </a:ln>
            <a:effectLst/>
          </c:spPr>
          <c:txPr>
            <a:bodyPr rot="-54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crossAx val="462015744"/>
        <c:crosses val="autoZero"/>
        <c:crossBetween val="between"/>
        <c:majorUnit val="25"/>
      </c:valAx>
      <c:spPr>
        <a:noFill/>
        <a:ln>
          <a:noFill/>
        </a:ln>
        <a:effectLst/>
      </c:spPr>
    </c:plotArea>
    <c:legend>
      <c:legendPos val="b"/>
      <c:layout>
        <c:manualLayout>
          <c:xMode val="edge"/>
          <c:yMode val="edge"/>
          <c:x val="0.46066357089979137"/>
          <c:y val="0.48367633023144835"/>
          <c:w val="0.47908186957399546"/>
          <c:h val="0.1657620100858179"/>
        </c:manualLayout>
      </c:layout>
      <c:overlay val="0"/>
      <c:spPr>
        <a:solidFill>
          <a:sysClr val="window" lastClr="FFFFFF">
            <a:lumMod val="95000"/>
          </a:sysClr>
        </a:solidFill>
        <a:ln>
          <a:solidFill>
            <a:sysClr val="window" lastClr="FFFFFF">
              <a:lumMod val="75000"/>
            </a:sysClr>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ysClr val="windowText" lastClr="000000"/>
          </a:solidFill>
          <a:latin typeface="+mn-lt"/>
          <a:ea typeface="+mn-ea"/>
          <a:cs typeface="+mn-cs"/>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306358381503"/>
          <c:y val="2.9050324687998175E-2"/>
          <c:w val="0.86117597944765578"/>
          <c:h val="0.62346653426203935"/>
        </c:manualLayout>
      </c:layout>
      <c:areaChart>
        <c:grouping val="standard"/>
        <c:varyColors val="0"/>
        <c:ser>
          <c:idx val="0"/>
          <c:order val="0"/>
          <c:tx>
            <c:strRef>
              <c:f>'Countries-Regions_Comparison'!$AU$34</c:f>
              <c:strCache>
                <c:ptCount val="1"/>
                <c:pt idx="0">
                  <c:v>agri benchmark 
Lambs Price Index</c:v>
                </c:pt>
              </c:strCache>
            </c:strRef>
          </c:tx>
          <c:spPr>
            <a:solidFill>
              <a:sysClr val="window" lastClr="FFFFFF">
                <a:lumMod val="85000"/>
              </a:sysClr>
            </a:solidFill>
            <a:ln>
              <a:solidFill>
                <a:sysClr val="window" lastClr="FFFFFF">
                  <a:lumMod val="65000"/>
                </a:sysClr>
              </a:solidFill>
            </a:ln>
            <a:effectLst/>
          </c:spPr>
          <c:cat>
            <c:strRef>
              <c:f>'Countries-Regions_Comparison'!$AV$33:$BU$33</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'Countries-Regions_Comparison'!$AV$34:$BU$34</c:f>
              <c:numCache>
                <c:formatCode>0.00</c:formatCode>
                <c:ptCount val="26"/>
                <c:pt idx="0">
                  <c:v>40.690682268070212</c:v>
                </c:pt>
                <c:pt idx="1">
                  <c:v>44.121774553541634</c:v>
                </c:pt>
                <c:pt idx="2">
                  <c:v>50.584994967156213</c:v>
                </c:pt>
                <c:pt idx="3">
                  <c:v>62.808759439236262</c:v>
                </c:pt>
                <c:pt idx="4">
                  <c:v>70.606269054466253</c:v>
                </c:pt>
                <c:pt idx="5">
                  <c:v>65.745499060419846</c:v>
                </c:pt>
                <c:pt idx="6">
                  <c:v>64.325388684215952</c:v>
                </c:pt>
                <c:pt idx="7">
                  <c:v>70.653745978039112</c:v>
                </c:pt>
                <c:pt idx="8">
                  <c:v>85.410913419497078</c:v>
                </c:pt>
                <c:pt idx="9">
                  <c:v>84.080372308439493</c:v>
                </c:pt>
                <c:pt idx="10">
                  <c:v>101.77209001422113</c:v>
                </c:pt>
                <c:pt idx="11">
                  <c:v>123.22524738611551</c:v>
                </c:pt>
                <c:pt idx="12">
                  <c:v>107.69052440407121</c:v>
                </c:pt>
                <c:pt idx="13">
                  <c:v>102.10156076666969</c:v>
                </c:pt>
                <c:pt idx="14">
                  <c:v>111.80178404160101</c:v>
                </c:pt>
                <c:pt idx="15">
                  <c:v>94.743115209083015</c:v>
                </c:pt>
                <c:pt idx="16">
                  <c:v>93.45510074931596</c:v>
                </c:pt>
                <c:pt idx="17">
                  <c:v>101.85616610182191</c:v>
                </c:pt>
                <c:pt idx="18">
                  <c:v>104.52537480846567</c:v>
                </c:pt>
                <c:pt idx="19">
                  <c:v>106.21436187714484</c:v>
                </c:pt>
                <c:pt idx="20">
                  <c:v>104.51310446281974</c:v>
                </c:pt>
                <c:pt idx="21">
                  <c:v>121.29114184432675</c:v>
                </c:pt>
                <c:pt idx="22">
                  <c:v>118.23957161527201</c:v>
                </c:pt>
                <c:pt idx="23">
                  <c:v>109.21739224423928</c:v>
                </c:pt>
                <c:pt idx="24">
                  <c:v>126.03006710032479</c:v>
                </c:pt>
                <c:pt idx="25">
                  <c:v>138.77314413992957</c:v>
                </c:pt>
              </c:numCache>
            </c:numRef>
          </c:val>
          <c:extLst>
            <c:ext xmlns:c16="http://schemas.microsoft.com/office/drawing/2014/chart" uri="{C3380CC4-5D6E-409C-BE32-E72D297353CC}">
              <c16:uniqueId val="{00000000-BAF3-4F92-90D8-979FF371552C}"/>
            </c:ext>
          </c:extLst>
        </c:ser>
        <c:dLbls>
          <c:showLegendKey val="0"/>
          <c:showVal val="0"/>
          <c:showCatName val="0"/>
          <c:showSerName val="0"/>
          <c:showPercent val="0"/>
          <c:showBubbleSize val="0"/>
        </c:dLbls>
        <c:axId val="1294281279"/>
        <c:axId val="1289506239"/>
      </c:areaChart>
      <c:lineChart>
        <c:grouping val="standard"/>
        <c:varyColors val="0"/>
        <c:ser>
          <c:idx val="1"/>
          <c:order val="1"/>
          <c:tx>
            <c:strRef>
              <c:f>'Countries-Regions_Comparison'!$AU$35</c:f>
              <c:strCache>
                <c:ptCount val="1"/>
                <c:pt idx="0">
                  <c:v>Oceania Price Index</c:v>
                </c:pt>
              </c:strCache>
            </c:strRef>
          </c:tx>
          <c:spPr>
            <a:ln w="28575" cap="rnd">
              <a:solidFill>
                <a:sysClr val="windowText" lastClr="000000"/>
              </a:solidFill>
              <a:prstDash val="dash"/>
              <a:round/>
            </a:ln>
            <a:effectLst/>
          </c:spPr>
          <c:marker>
            <c:symbol val="none"/>
          </c:marker>
          <c:cat>
            <c:strRef>
              <c:f>'Countries-Regions_Comparison'!$AV$33:$BU$33</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'Countries-Regions_Comparison'!$AV$35:$BU$35</c:f>
              <c:numCache>
                <c:formatCode>0.00</c:formatCode>
                <c:ptCount val="26"/>
                <c:pt idx="0">
                  <c:v>30.309487350592129</c:v>
                </c:pt>
                <c:pt idx="1">
                  <c:v>35.02333404712541</c:v>
                </c:pt>
                <c:pt idx="2">
                  <c:v>41.733619627815266</c:v>
                </c:pt>
                <c:pt idx="3">
                  <c:v>57.349850680267899</c:v>
                </c:pt>
                <c:pt idx="4">
                  <c:v>64.052289310182175</c:v>
                </c:pt>
                <c:pt idx="5">
                  <c:v>57.346435904801709</c:v>
                </c:pt>
                <c:pt idx="6">
                  <c:v>54.470084011111574</c:v>
                </c:pt>
                <c:pt idx="7">
                  <c:v>62.451848950001988</c:v>
                </c:pt>
                <c:pt idx="8">
                  <c:v>82.560095556321428</c:v>
                </c:pt>
                <c:pt idx="9">
                  <c:v>77.412576234979653</c:v>
                </c:pt>
                <c:pt idx="10">
                  <c:v>104.48118782886667</c:v>
                </c:pt>
                <c:pt idx="11">
                  <c:v>134.57586054972714</c:v>
                </c:pt>
                <c:pt idx="12">
                  <c:v>106.91670966643159</c:v>
                </c:pt>
                <c:pt idx="13">
                  <c:v>97.423183543079531</c:v>
                </c:pt>
                <c:pt idx="14">
                  <c:v>113.39068858956951</c:v>
                </c:pt>
                <c:pt idx="15">
                  <c:v>93.785612321125072</c:v>
                </c:pt>
                <c:pt idx="16">
                  <c:v>92.82369908930545</c:v>
                </c:pt>
                <c:pt idx="17">
                  <c:v>111.72185973773736</c:v>
                </c:pt>
                <c:pt idx="18">
                  <c:v>121.71864797092186</c:v>
                </c:pt>
                <c:pt idx="19">
                  <c:v>125.43362125674662</c:v>
                </c:pt>
                <c:pt idx="20">
                  <c:v>122.57073709435392</c:v>
                </c:pt>
                <c:pt idx="21">
                  <c:v>143.33467897479679</c:v>
                </c:pt>
                <c:pt idx="22">
                  <c:v>128.39304576765431</c:v>
                </c:pt>
                <c:pt idx="23">
                  <c:v>100.12458912614346</c:v>
                </c:pt>
                <c:pt idx="24">
                  <c:v>107.78682234304371</c:v>
                </c:pt>
                <c:pt idx="25">
                  <c:v>126.18686334602909</c:v>
                </c:pt>
              </c:numCache>
            </c:numRef>
          </c:val>
          <c:smooth val="0"/>
          <c:extLst>
            <c:ext xmlns:c16="http://schemas.microsoft.com/office/drawing/2014/chart" uri="{C3380CC4-5D6E-409C-BE32-E72D297353CC}">
              <c16:uniqueId val="{00000001-BAF3-4F92-90D8-979FF371552C}"/>
            </c:ext>
          </c:extLst>
        </c:ser>
        <c:ser>
          <c:idx val="2"/>
          <c:order val="2"/>
          <c:tx>
            <c:strRef>
              <c:f>'Countries-Regions_Comparison'!$AU$36</c:f>
              <c:strCache>
                <c:ptCount val="1"/>
                <c:pt idx="0">
                  <c:v>EU Price Index</c:v>
                </c:pt>
              </c:strCache>
            </c:strRef>
          </c:tx>
          <c:spPr>
            <a:ln w="28575" cap="rnd">
              <a:solidFill>
                <a:srgbClr val="0070C0"/>
              </a:solidFill>
              <a:prstDash val="dash"/>
              <a:round/>
            </a:ln>
            <a:effectLst/>
          </c:spPr>
          <c:marker>
            <c:symbol val="none"/>
          </c:marker>
          <c:cat>
            <c:strRef>
              <c:f>'Countries-Regions_Comparison'!$AV$33:$BU$33</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'Countries-Regions_Comparison'!$AV$36:$BU$36</c:f>
              <c:numCache>
                <c:formatCode>0.00</c:formatCode>
                <c:ptCount val="26"/>
                <c:pt idx="0">
                  <c:v>61.711994381455945</c:v>
                </c:pt>
                <c:pt idx="1">
                  <c:v>72.923732424568698</c:v>
                </c:pt>
                <c:pt idx="2">
                  <c:v>69.636068080724229</c:v>
                </c:pt>
                <c:pt idx="3">
                  <c:v>80.653544648581615</c:v>
                </c:pt>
                <c:pt idx="4">
                  <c:v>86.289577271747817</c:v>
                </c:pt>
                <c:pt idx="5">
                  <c:v>86.211765026018583</c:v>
                </c:pt>
                <c:pt idx="6">
                  <c:v>88.284112349560829</c:v>
                </c:pt>
                <c:pt idx="7">
                  <c:v>94.771436931497817</c:v>
                </c:pt>
                <c:pt idx="8">
                  <c:v>107.36937222662937</c:v>
                </c:pt>
                <c:pt idx="9">
                  <c:v>107.86411822654421</c:v>
                </c:pt>
                <c:pt idx="10">
                  <c:v>102.41619120847476</c:v>
                </c:pt>
                <c:pt idx="11">
                  <c:v>113.80377976430367</c:v>
                </c:pt>
                <c:pt idx="12">
                  <c:v>106.89565218843842</c:v>
                </c:pt>
                <c:pt idx="13">
                  <c:v>108.59974292300191</c:v>
                </c:pt>
                <c:pt idx="14">
                  <c:v>110.2846345982458</c:v>
                </c:pt>
                <c:pt idx="15">
                  <c:v>95.891996632740785</c:v>
                </c:pt>
                <c:pt idx="16">
                  <c:v>93.823368769013427</c:v>
                </c:pt>
                <c:pt idx="17">
                  <c:v>96.961328692595387</c:v>
                </c:pt>
                <c:pt idx="18">
                  <c:v>100.32171104941405</c:v>
                </c:pt>
                <c:pt idx="19">
                  <c:v>97.810032108315283</c:v>
                </c:pt>
                <c:pt idx="20">
                  <c:v>98.885861069078459</c:v>
                </c:pt>
                <c:pt idx="21">
                  <c:v>118.94683844596375</c:v>
                </c:pt>
                <c:pt idx="22">
                  <c:v>112.39380108937729</c:v>
                </c:pt>
                <c:pt idx="23">
                  <c:v>122.18292240695574</c:v>
                </c:pt>
                <c:pt idx="24">
                  <c:v>139.78696519235453</c:v>
                </c:pt>
                <c:pt idx="25">
                  <c:v>155.48661410501023</c:v>
                </c:pt>
              </c:numCache>
            </c:numRef>
          </c:val>
          <c:smooth val="0"/>
          <c:extLst>
            <c:ext xmlns:c16="http://schemas.microsoft.com/office/drawing/2014/chart" uri="{C3380CC4-5D6E-409C-BE32-E72D297353CC}">
              <c16:uniqueId val="{00000002-BAF3-4F92-90D8-979FF371552C}"/>
            </c:ext>
          </c:extLst>
        </c:ser>
        <c:ser>
          <c:idx val="3"/>
          <c:order val="3"/>
          <c:tx>
            <c:strRef>
              <c:f>'Countries-Regions_Comparison'!$AU$37</c:f>
              <c:strCache>
                <c:ptCount val="1"/>
                <c:pt idx="0">
                  <c:v>UK Price Inex</c:v>
                </c:pt>
              </c:strCache>
            </c:strRef>
          </c:tx>
          <c:spPr>
            <a:ln w="28575" cap="rnd">
              <a:solidFill>
                <a:srgbClr val="C00000"/>
              </a:solidFill>
              <a:prstDash val="dash"/>
              <a:round/>
            </a:ln>
            <a:effectLst/>
          </c:spPr>
          <c:marker>
            <c:symbol val="none"/>
          </c:marker>
          <c:cat>
            <c:strRef>
              <c:f>'Countries-Regions_Comparison'!$AV$33:$BU$33</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'Countries-Regions_Comparison'!$AV$37:$BU$37</c:f>
              <c:numCache>
                <c:formatCode>0.00</c:formatCode>
                <c:ptCount val="26"/>
                <c:pt idx="0">
                  <c:v>46.683572405688281</c:v>
                </c:pt>
                <c:pt idx="1">
                  <c:v>40.594062767871137</c:v>
                </c:pt>
                <c:pt idx="2">
                  <c:v>58.830602173434599</c:v>
                </c:pt>
                <c:pt idx="3">
                  <c:v>71.93300357842385</c:v>
                </c:pt>
                <c:pt idx="4">
                  <c:v>80.037072422531352</c:v>
                </c:pt>
                <c:pt idx="5">
                  <c:v>74.566292476055324</c:v>
                </c:pt>
                <c:pt idx="6">
                  <c:v>78.576703662356906</c:v>
                </c:pt>
                <c:pt idx="7">
                  <c:v>78.742045320186179</c:v>
                </c:pt>
                <c:pt idx="8">
                  <c:v>91.123508982560949</c:v>
                </c:pt>
                <c:pt idx="9">
                  <c:v>91.073208779660376</c:v>
                </c:pt>
                <c:pt idx="10">
                  <c:v>98.183214191549723</c:v>
                </c:pt>
                <c:pt idx="11">
                  <c:v>112.5954928568131</c:v>
                </c:pt>
                <c:pt idx="12">
                  <c:v>105.72322182183888</c:v>
                </c:pt>
                <c:pt idx="13">
                  <c:v>107.48035648318218</c:v>
                </c:pt>
                <c:pt idx="14">
                  <c:v>112.98616583619493</c:v>
                </c:pt>
                <c:pt idx="15">
                  <c:v>95.724753252508606</c:v>
                </c:pt>
                <c:pt idx="16">
                  <c:v>91.289080911296452</c:v>
                </c:pt>
                <c:pt idx="17">
                  <c:v>89.276284279333026</c:v>
                </c:pt>
                <c:pt idx="18">
                  <c:v>98.733300320925508</c:v>
                </c:pt>
                <c:pt idx="19">
                  <c:v>88.500146486780793</c:v>
                </c:pt>
                <c:pt idx="20">
                  <c:v>101.61069278928309</c:v>
                </c:pt>
                <c:pt idx="21">
                  <c:v>132.32596373561381</c:v>
                </c:pt>
                <c:pt idx="22">
                  <c:v>119.18350488356829</c:v>
                </c:pt>
                <c:pt idx="23">
                  <c:v>121.82304048972594</c:v>
                </c:pt>
                <c:pt idx="24">
                  <c:v>151.67543949239311</c:v>
                </c:pt>
                <c:pt idx="25">
                  <c:v>158.14793496003711</c:v>
                </c:pt>
              </c:numCache>
            </c:numRef>
          </c:val>
          <c:smooth val="0"/>
          <c:extLst>
            <c:ext xmlns:c16="http://schemas.microsoft.com/office/drawing/2014/chart" uri="{C3380CC4-5D6E-409C-BE32-E72D297353CC}">
              <c16:uniqueId val="{00000003-BAF3-4F92-90D8-979FF371552C}"/>
            </c:ext>
          </c:extLst>
        </c:ser>
        <c:dLbls>
          <c:showLegendKey val="0"/>
          <c:showVal val="0"/>
          <c:showCatName val="0"/>
          <c:showSerName val="0"/>
          <c:showPercent val="0"/>
          <c:showBubbleSize val="0"/>
        </c:dLbls>
        <c:marker val="1"/>
        <c:smooth val="0"/>
        <c:axId val="1294281279"/>
        <c:axId val="1289506239"/>
      </c:lineChart>
      <c:catAx>
        <c:axId val="1294281279"/>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i="0" baseline="0">
                    <a:effectLst/>
                  </a:rPr>
                  <a:t>Calender Year</a:t>
                </a:r>
                <a:endParaRPr lang="en-US" sz="1050">
                  <a:effectLst/>
                </a:endParaRPr>
              </a:p>
            </c:rich>
          </c:tx>
          <c:layout>
            <c:manualLayout>
              <c:xMode val="edge"/>
              <c:yMode val="edge"/>
              <c:x val="0.46893526883266129"/>
              <c:y val="0.7761424973573722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title>
        <c:numFmt formatCode="General" sourceLinked="1"/>
        <c:majorTickMark val="none"/>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de-DE"/>
          </a:p>
        </c:txPr>
        <c:crossAx val="1289506239"/>
        <c:crosses val="autoZero"/>
        <c:auto val="1"/>
        <c:lblAlgn val="ctr"/>
        <c:lblOffset val="100"/>
        <c:noMultiLvlLbl val="0"/>
      </c:catAx>
      <c:valAx>
        <c:axId val="1289506239"/>
        <c:scaling>
          <c:orientation val="minMax"/>
          <c:max val="160"/>
          <c:min val="0"/>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i="0" baseline="0">
                    <a:effectLst/>
                  </a:rPr>
                  <a:t>Index Base 2014-2016=100</a:t>
                </a:r>
                <a:endParaRPr lang="en-US" sz="1050">
                  <a:effectLst/>
                </a:endParaRPr>
              </a:p>
            </c:rich>
          </c:tx>
          <c:layout>
            <c:manualLayout>
              <c:xMode val="edge"/>
              <c:yMode val="edge"/>
              <c:x val="2.0391779062299293E-3"/>
              <c:y val="0.1640614197530864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crossAx val="1294281279"/>
        <c:crosses val="autoZero"/>
        <c:crossBetween val="between"/>
        <c:majorUnit val="20"/>
      </c:valAx>
      <c:spPr>
        <a:noFill/>
        <a:ln>
          <a:noFill/>
        </a:ln>
        <a:effectLst/>
      </c:spPr>
    </c:plotArea>
    <c:legend>
      <c:legendPos val="b"/>
      <c:layout>
        <c:manualLayout>
          <c:xMode val="edge"/>
          <c:yMode val="edge"/>
          <c:x val="2.6459982357820732E-3"/>
          <c:y val="0.87062881268336401"/>
          <c:w val="0.98844713327733047"/>
          <c:h val="0.1210453095504644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n-lt"/>
        </a:defRPr>
      </a:pPr>
      <a:endParaRPr lang="de-D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10854206807964E-2"/>
          <c:y val="3.5502962654373055E-2"/>
          <c:w val="0.88848426461143226"/>
          <c:h val="0.69730830541678579"/>
        </c:manualLayout>
      </c:layout>
      <c:lineChart>
        <c:grouping val="standard"/>
        <c:varyColors val="0"/>
        <c:ser>
          <c:idx val="0"/>
          <c:order val="0"/>
          <c:tx>
            <c:strRef>
              <c:f>'ab vs. FAO'!$A$2</c:f>
              <c:strCache>
                <c:ptCount val="1"/>
                <c:pt idx="0">
                  <c:v> agri benchmark Index (Exc. China)</c:v>
                </c:pt>
              </c:strCache>
            </c:strRef>
          </c:tx>
          <c:spPr>
            <a:ln>
              <a:solidFill>
                <a:srgbClr val="FFC000"/>
              </a:solidFill>
            </a:ln>
          </c:spPr>
          <c:marker>
            <c:symbol val="none"/>
          </c:marker>
          <c:cat>
            <c:strRef>
              <c:f>'ab vs. FAO'!$B$1:$AA$1</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'ab vs. FAO'!$B$2:$AA$2</c:f>
              <c:numCache>
                <c:formatCode>0.00</c:formatCode>
                <c:ptCount val="26"/>
                <c:pt idx="0">
                  <c:v>40.845167131959741</c:v>
                </c:pt>
                <c:pt idx="1">
                  <c:v>43.443470345602343</c:v>
                </c:pt>
                <c:pt idx="2">
                  <c:v>48.644721011842265</c:v>
                </c:pt>
                <c:pt idx="3">
                  <c:v>61.021761703953651</c:v>
                </c:pt>
                <c:pt idx="4">
                  <c:v>68.959504601938079</c:v>
                </c:pt>
                <c:pt idx="5">
                  <c:v>65.640598504938055</c:v>
                </c:pt>
                <c:pt idx="6">
                  <c:v>64.402586429912873</c:v>
                </c:pt>
                <c:pt idx="7">
                  <c:v>71.020061199105157</c:v>
                </c:pt>
                <c:pt idx="8">
                  <c:v>82.824781265330202</c:v>
                </c:pt>
                <c:pt idx="9">
                  <c:v>84.29995865008793</c:v>
                </c:pt>
                <c:pt idx="10">
                  <c:v>104.37896445556842</c:v>
                </c:pt>
                <c:pt idx="11">
                  <c:v>126.16986283948475</c:v>
                </c:pt>
                <c:pt idx="12">
                  <c:v>108.93849568489915</c:v>
                </c:pt>
                <c:pt idx="13">
                  <c:v>101.10504413633343</c:v>
                </c:pt>
                <c:pt idx="14">
                  <c:v>110.01394460094851</c:v>
                </c:pt>
                <c:pt idx="15">
                  <c:v>95.676315995899813</c:v>
                </c:pt>
                <c:pt idx="16">
                  <c:v>94.30973940315161</c:v>
                </c:pt>
                <c:pt idx="17">
                  <c:v>104.63325700416483</c:v>
                </c:pt>
                <c:pt idx="18">
                  <c:v>106.72069688371548</c:v>
                </c:pt>
                <c:pt idx="19">
                  <c:v>107.01639031456706</c:v>
                </c:pt>
                <c:pt idx="20">
                  <c:v>107.19816785256171</c:v>
                </c:pt>
                <c:pt idx="21">
                  <c:v>125.29506227098402</c:v>
                </c:pt>
                <c:pt idx="22">
                  <c:v>121.06472963464357</c:v>
                </c:pt>
                <c:pt idx="23">
                  <c:v>108.41694611479905</c:v>
                </c:pt>
                <c:pt idx="24">
                  <c:v>122.40209115435906</c:v>
                </c:pt>
                <c:pt idx="25">
                  <c:v>135.45220866460505</c:v>
                </c:pt>
              </c:numCache>
            </c:numRef>
          </c:val>
          <c:smooth val="0"/>
          <c:extLst>
            <c:ext xmlns:c16="http://schemas.microsoft.com/office/drawing/2014/chart" uri="{C3380CC4-5D6E-409C-BE32-E72D297353CC}">
              <c16:uniqueId val="{00000000-3B7B-4C63-95CF-0774C34C8692}"/>
            </c:ext>
          </c:extLst>
        </c:ser>
        <c:ser>
          <c:idx val="1"/>
          <c:order val="1"/>
          <c:tx>
            <c:strRef>
              <c:f>'ab vs. FAO'!$A$3</c:f>
              <c:strCache>
                <c:ptCount val="1"/>
                <c:pt idx="0">
                  <c:v> agri benchmark Index (Inc. China)</c:v>
                </c:pt>
              </c:strCache>
            </c:strRef>
          </c:tx>
          <c:spPr>
            <a:ln>
              <a:solidFill>
                <a:srgbClr val="C00000"/>
              </a:solidFill>
            </a:ln>
          </c:spPr>
          <c:marker>
            <c:symbol val="none"/>
          </c:marker>
          <c:cat>
            <c:strRef>
              <c:f>'ab vs. FAO'!$B$1:$AA$1</c:f>
              <c:strCach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strCache>
            </c:strRef>
          </c:cat>
          <c:val>
            <c:numRef>
              <c:f>'ab vs. FAO'!$B$3:$AA$3</c:f>
              <c:numCache>
                <c:formatCode>0.00</c:formatCode>
                <c:ptCount val="26"/>
                <c:pt idx="0">
                  <c:v>26.327587521942657</c:v>
                </c:pt>
                <c:pt idx="1">
                  <c:v>28.337826569048907</c:v>
                </c:pt>
                <c:pt idx="2">
                  <c:v>30.538665315627561</c:v>
                </c:pt>
                <c:pt idx="3">
                  <c:v>35.45380252557824</c:v>
                </c:pt>
                <c:pt idx="4">
                  <c:v>38.729566544953343</c:v>
                </c:pt>
                <c:pt idx="5">
                  <c:v>39.039654621647067</c:v>
                </c:pt>
                <c:pt idx="6">
                  <c:v>39.48265314557873</c:v>
                </c:pt>
                <c:pt idx="7">
                  <c:v>46.644963875763118</c:v>
                </c:pt>
                <c:pt idx="8">
                  <c:v>59.369971294543021</c:v>
                </c:pt>
                <c:pt idx="9">
                  <c:v>60.462774315649284</c:v>
                </c:pt>
                <c:pt idx="10">
                  <c:v>67.785137620730197</c:v>
                </c:pt>
                <c:pt idx="11">
                  <c:v>88.624732957815198</c:v>
                </c:pt>
                <c:pt idx="12">
                  <c:v>88.323832225329085</c:v>
                </c:pt>
                <c:pt idx="13">
                  <c:v>95.737445075291831</c:v>
                </c:pt>
                <c:pt idx="14">
                  <c:v>110.30039244821843</c:v>
                </c:pt>
                <c:pt idx="15">
                  <c:v>99.550758579626617</c:v>
                </c:pt>
                <c:pt idx="16">
                  <c:v>90.148848972154923</c:v>
                </c:pt>
                <c:pt idx="17">
                  <c:v>93.365699385593899</c:v>
                </c:pt>
                <c:pt idx="18">
                  <c:v>101.41802189729754</c:v>
                </c:pt>
                <c:pt idx="19">
                  <c:v>107.93473473734332</c:v>
                </c:pt>
                <c:pt idx="20">
                  <c:v>115.63217011543844</c:v>
                </c:pt>
                <c:pt idx="21">
                  <c:v>131.53369533760349</c:v>
                </c:pt>
                <c:pt idx="22">
                  <c:v>125.23629817459035</c:v>
                </c:pt>
                <c:pt idx="23">
                  <c:v>113.36917772658821</c:v>
                </c:pt>
                <c:pt idx="24">
                  <c:v>111.66292107318793</c:v>
                </c:pt>
                <c:pt idx="25">
                  <c:v>114.03730413450104</c:v>
                </c:pt>
              </c:numCache>
            </c:numRef>
          </c:val>
          <c:smooth val="0"/>
          <c:extLst>
            <c:ext xmlns:c16="http://schemas.microsoft.com/office/drawing/2014/chart" uri="{C3380CC4-5D6E-409C-BE32-E72D297353CC}">
              <c16:uniqueId val="{00000001-3B7B-4C63-95CF-0774C34C8692}"/>
            </c:ext>
          </c:extLst>
        </c:ser>
        <c:dLbls>
          <c:showLegendKey val="0"/>
          <c:showVal val="0"/>
          <c:showCatName val="0"/>
          <c:showSerName val="0"/>
          <c:showPercent val="0"/>
          <c:showBubbleSize val="0"/>
        </c:dLbls>
        <c:smooth val="0"/>
        <c:axId val="96868992"/>
        <c:axId val="96874880"/>
      </c:lineChart>
      <c:catAx>
        <c:axId val="96868992"/>
        <c:scaling>
          <c:orientation val="minMax"/>
        </c:scaling>
        <c:delete val="0"/>
        <c:axPos val="b"/>
        <c:title>
          <c:tx>
            <c:rich>
              <a:bodyPr/>
              <a:lstStyle/>
              <a:p>
                <a:pPr>
                  <a:defRPr sz="1050" b="0"/>
                </a:pPr>
                <a:r>
                  <a:rPr lang="en-US" sz="1050" b="0"/>
                  <a:t>Calender Year</a:t>
                </a:r>
              </a:p>
            </c:rich>
          </c:tx>
          <c:layout>
            <c:manualLayout>
              <c:xMode val="edge"/>
              <c:yMode val="edge"/>
              <c:x val="0.47232919691668146"/>
              <c:y val="0.85696049382716044"/>
            </c:manualLayout>
          </c:layout>
          <c:overlay val="0"/>
        </c:title>
        <c:numFmt formatCode="General" sourceLinked="1"/>
        <c:majorTickMark val="out"/>
        <c:minorTickMark val="none"/>
        <c:tickLblPos val="nextTo"/>
        <c:spPr>
          <a:noFill/>
          <a:ln w="6350" cap="flat" cmpd="sng" algn="ctr">
            <a:solidFill>
              <a:schemeClr val="dk1"/>
            </a:solidFill>
            <a:prstDash val="solid"/>
            <a:miter lim="800000"/>
          </a:ln>
          <a:effectLst/>
        </c:spPr>
        <c:txPr>
          <a:bodyPr/>
          <a:lstStyle/>
          <a:p>
            <a:pPr>
              <a:defRPr sz="1050"/>
            </a:pPr>
            <a:endParaRPr lang="de-DE"/>
          </a:p>
        </c:txPr>
        <c:crossAx val="96874880"/>
        <c:crosses val="autoZero"/>
        <c:auto val="1"/>
        <c:lblAlgn val="ctr"/>
        <c:lblOffset val="100"/>
        <c:noMultiLvlLbl val="0"/>
      </c:catAx>
      <c:valAx>
        <c:axId val="96874880"/>
        <c:scaling>
          <c:orientation val="minMax"/>
          <c:max val="150"/>
          <c:min val="0"/>
        </c:scaling>
        <c:delete val="0"/>
        <c:axPos val="l"/>
        <c:majorGridlines>
          <c:spPr>
            <a:ln w="6350" cap="flat" cmpd="sng" algn="ctr">
              <a:solidFill>
                <a:schemeClr val="dk1"/>
              </a:solidFill>
              <a:prstDash val="solid"/>
              <a:miter lim="800000"/>
            </a:ln>
            <a:effectLst/>
          </c:spPr>
        </c:majorGridlines>
        <c:title>
          <c:tx>
            <c:rich>
              <a:bodyPr/>
              <a:lstStyle/>
              <a:p>
                <a:pPr>
                  <a:defRPr sz="1050" b="0"/>
                </a:pPr>
                <a:r>
                  <a:rPr lang="en-US" sz="1050" b="0"/>
                  <a:t>Index Base 2014-2016=100</a:t>
                </a:r>
              </a:p>
            </c:rich>
          </c:tx>
          <c:layout>
            <c:manualLayout>
              <c:xMode val="edge"/>
              <c:yMode val="edge"/>
              <c:x val="1.8607478699150639E-3"/>
              <c:y val="0.18242928255888038"/>
            </c:manualLayout>
          </c:layout>
          <c:overlay val="0"/>
        </c:title>
        <c:numFmt formatCode="0" sourceLinked="0"/>
        <c:majorTickMark val="out"/>
        <c:minorTickMark val="none"/>
        <c:tickLblPos val="nextTo"/>
        <c:spPr>
          <a:ln>
            <a:noFill/>
          </a:ln>
        </c:spPr>
        <c:txPr>
          <a:bodyPr/>
          <a:lstStyle/>
          <a:p>
            <a:pPr>
              <a:defRPr sz="1050"/>
            </a:pPr>
            <a:endParaRPr lang="de-DE"/>
          </a:p>
        </c:txPr>
        <c:crossAx val="96868992"/>
        <c:crosses val="autoZero"/>
        <c:crossBetween val="between"/>
        <c:majorUnit val="25"/>
      </c:valAx>
    </c:plotArea>
    <c:legend>
      <c:legendPos val="r"/>
      <c:layout>
        <c:manualLayout>
          <c:xMode val="edge"/>
          <c:yMode val="edge"/>
          <c:x val="4.4869219098888002E-3"/>
          <c:y val="0.90563055555555561"/>
          <c:w val="0.99100634077930527"/>
          <c:h val="9.4369444444444464E-2"/>
        </c:manualLayout>
      </c:layout>
      <c:overlay val="0"/>
      <c:spPr>
        <a:noFill/>
        <a:ln>
          <a:noFill/>
        </a:ln>
        <a:effectLst/>
      </c:spPr>
      <c:txPr>
        <a:bodyPr/>
        <a:lstStyle/>
        <a:p>
          <a:pPr>
            <a:defRPr sz="1050"/>
          </a:pPr>
          <a:endParaRPr lang="de-DE"/>
        </a:p>
      </c:txPr>
    </c:legend>
    <c:plotVisOnly val="1"/>
    <c:dispBlanksAs val="gap"/>
    <c:showDLblsOverMax val="0"/>
  </c:chart>
  <c:spPr>
    <a:ln>
      <a:noFill/>
    </a:ln>
  </c:spPr>
  <c:txPr>
    <a:bodyPr/>
    <a:lstStyle/>
    <a:p>
      <a:pPr>
        <a:defRPr sz="1200">
          <a:latin typeface="+mn-lt"/>
        </a:defRPr>
      </a:pPr>
      <a:endParaRPr lang="de-D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EB6D9F4-6470-4BB1-8673-515882B7D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2614</Words>
  <Characters>16473</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Deblitz</dc:creator>
  <cp:keywords/>
  <dc:description/>
  <cp:lastModifiedBy>Heidrun Fornahl</cp:lastModifiedBy>
  <cp:revision>2</cp:revision>
  <cp:lastPrinted>2021-11-05T12:28:00Z</cp:lastPrinted>
  <dcterms:created xsi:type="dcterms:W3CDTF">2025-12-04T07:21:00Z</dcterms:created>
  <dcterms:modified xsi:type="dcterms:W3CDTF">2025-12-04T07:21:00Z</dcterms:modified>
</cp:coreProperties>
</file>